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360E7C14"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677989">
        <w:rPr>
          <w:rFonts w:cs="Arial"/>
          <w:noProof w:val="0"/>
          <w:sz w:val="24"/>
          <w:szCs w:val="24"/>
        </w:rPr>
        <w:t>2</w:t>
      </w:r>
      <w:r w:rsidR="004125FA">
        <w:rPr>
          <w:rFonts w:cs="Arial"/>
          <w:noProof w:val="0"/>
          <w:sz w:val="24"/>
          <w:szCs w:val="24"/>
        </w:rPr>
        <w:t>3</w:t>
      </w:r>
      <w:r w:rsidR="0047055E">
        <w:rPr>
          <w:rFonts w:cs="Arial"/>
          <w:noProof w:val="0"/>
          <w:sz w:val="24"/>
          <w:szCs w:val="24"/>
        </w:rPr>
        <w:t>-bis</w:t>
      </w:r>
      <w:r>
        <w:rPr>
          <w:rFonts w:cs="Arial"/>
          <w:bCs/>
          <w:noProof w:val="0"/>
          <w:sz w:val="24"/>
        </w:rPr>
        <w:tab/>
      </w:r>
      <w:r w:rsidR="00A6781F" w:rsidRPr="00A6781F">
        <w:rPr>
          <w:rFonts w:cs="Arial"/>
          <w:bCs/>
          <w:noProof w:val="0"/>
          <w:sz w:val="24"/>
          <w:lang w:eastAsia="ja-JP"/>
        </w:rPr>
        <w:t>R3-24</w:t>
      </w:r>
      <w:r w:rsidR="0047055E">
        <w:rPr>
          <w:rFonts w:cs="Arial"/>
          <w:bCs/>
          <w:noProof w:val="0"/>
          <w:sz w:val="24"/>
          <w:lang w:eastAsia="ja-JP"/>
        </w:rPr>
        <w:t>2026</w:t>
      </w:r>
    </w:p>
    <w:p w14:paraId="55C2C685" w14:textId="4E4FA4C7" w:rsidR="004F4425" w:rsidRPr="0058696E" w:rsidRDefault="0047055E" w:rsidP="004F4425">
      <w:pPr>
        <w:pStyle w:val="CRCoverPage"/>
        <w:outlineLvl w:val="0"/>
        <w:rPr>
          <w:b/>
          <w:noProof/>
          <w:sz w:val="24"/>
          <w:lang w:val="en-US"/>
        </w:rPr>
      </w:pPr>
      <w:r w:rsidRPr="0047055E">
        <w:rPr>
          <w:b/>
          <w:noProof/>
          <w:sz w:val="24"/>
        </w:rPr>
        <w:t>Changsha, China, 15 - 19 April 2024</w:t>
      </w:r>
    </w:p>
    <w:p w14:paraId="2C46BA94" w14:textId="77777777" w:rsidR="00501135" w:rsidRPr="0058696E" w:rsidRDefault="00501135">
      <w:pPr>
        <w:pStyle w:val="Header"/>
        <w:rPr>
          <w:rFonts w:cs="Arial"/>
          <w:bCs/>
          <w:noProof w:val="0"/>
          <w:sz w:val="24"/>
          <w:lang w:eastAsia="ja-JP"/>
        </w:rPr>
      </w:pPr>
    </w:p>
    <w:p w14:paraId="71F2DE53" w14:textId="33115B76" w:rsidR="0047055E" w:rsidRPr="00D65869" w:rsidRDefault="008A4C1D">
      <w:pPr>
        <w:pStyle w:val="CRCoverPage"/>
        <w:tabs>
          <w:tab w:val="left" w:pos="1985"/>
        </w:tabs>
        <w:rPr>
          <w:rFonts w:cs="Arial"/>
          <w:b/>
          <w:bCs/>
          <w:color w:val="000000"/>
          <w:sz w:val="24"/>
          <w:szCs w:val="24"/>
          <w:lang w:val="en-US"/>
        </w:rPr>
      </w:pPr>
      <w:r w:rsidRPr="004C4613">
        <w:rPr>
          <w:rFonts w:cs="Arial"/>
          <w:b/>
          <w:bCs/>
          <w:color w:val="000000"/>
          <w:sz w:val="24"/>
          <w:szCs w:val="24"/>
          <w:lang w:val="en-US"/>
        </w:rPr>
        <w:t>Agenda I</w:t>
      </w:r>
      <w:r w:rsidR="00501135" w:rsidRPr="004C4613">
        <w:rPr>
          <w:rFonts w:cs="Arial"/>
          <w:b/>
          <w:bCs/>
          <w:color w:val="000000"/>
          <w:sz w:val="24"/>
          <w:szCs w:val="24"/>
          <w:lang w:val="en-US"/>
        </w:rPr>
        <w:t>tem:</w:t>
      </w:r>
      <w:r w:rsidR="00501135" w:rsidRPr="004C4613">
        <w:rPr>
          <w:rFonts w:cs="Arial"/>
          <w:b/>
          <w:bCs/>
          <w:color w:val="000000"/>
          <w:sz w:val="24"/>
          <w:szCs w:val="24"/>
          <w:lang w:val="en-US"/>
        </w:rPr>
        <w:tab/>
      </w:r>
      <w:r w:rsidR="0047055E">
        <w:rPr>
          <w:rFonts w:cs="Arial"/>
          <w:b/>
          <w:bCs/>
          <w:color w:val="000000"/>
          <w:sz w:val="24"/>
          <w:szCs w:val="24"/>
          <w:lang w:val="en-US"/>
        </w:rPr>
        <w:t>10.3.1</w:t>
      </w:r>
    </w:p>
    <w:p w14:paraId="67E781D4"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376C8658" w14:textId="0635DB0E"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7055E" w:rsidRPr="0047055E">
        <w:rPr>
          <w:rFonts w:cs="Arial"/>
          <w:b/>
          <w:bCs/>
          <w:color w:val="000000"/>
          <w:sz w:val="24"/>
          <w:szCs w:val="24"/>
        </w:rPr>
        <w:t>SON enhancements for NTN</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7FFEFA9D" w14:textId="77777777" w:rsidR="0047055E" w:rsidRDefault="0047055E" w:rsidP="0047055E">
      <w:r>
        <w:t xml:space="preserve">RAN plenary decided during RAN#103 to support further data collection for Self-organizing Networks (SON). One of the topics that was endorsed was the SON enhancements for Non-terrestrial networks. </w:t>
      </w:r>
    </w:p>
    <w:p w14:paraId="4A5B409F" w14:textId="73E16765" w:rsidR="00E66923" w:rsidRDefault="0047055E" w:rsidP="0047055E">
      <w:r>
        <w:t>This paper proposes relevant topics for SON related enhancements for NTN. We propose three areas where SON can be improved to better support Non-terrestrial Networks. The three areas are MDT related enhancements, RLF related enhancements and finally UHI enhancements.</w:t>
      </w:r>
    </w:p>
    <w:p w14:paraId="2BE2E8EF" w14:textId="29489264"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bookmarkEnd w:id="8"/>
      <w:bookmarkEnd w:id="9"/>
      <w:bookmarkEnd w:id="10"/>
      <w:bookmarkEnd w:id="11"/>
      <w:bookmarkEnd w:id="12"/>
      <w:bookmarkEnd w:id="13"/>
      <w:bookmarkEnd w:id="14"/>
      <w:r w:rsidR="00883547">
        <w:rPr>
          <w:rFonts w:cs="Arial"/>
        </w:rPr>
        <w:tab/>
      </w:r>
      <w:r w:rsidR="00883547">
        <w:t>Discussion</w:t>
      </w:r>
    </w:p>
    <w:p w14:paraId="7FECB7FB" w14:textId="45F0EC70" w:rsidR="0047055E" w:rsidRPr="0047055E" w:rsidRDefault="0047055E" w:rsidP="0047055E">
      <w:pPr>
        <w:pStyle w:val="Heading2"/>
      </w:pPr>
      <w:r>
        <w:t xml:space="preserve">2.1 </w:t>
      </w:r>
      <w:r w:rsidRPr="0047055E">
        <w:t>MDT related enhancements for NTN</w:t>
      </w:r>
    </w:p>
    <w:p w14:paraId="563F07EC" w14:textId="77777777" w:rsidR="0047055E" w:rsidRPr="0047055E" w:rsidRDefault="0047055E" w:rsidP="0047055E">
      <w:pPr>
        <w:rPr>
          <w:lang w:val="en-US"/>
        </w:rPr>
      </w:pPr>
      <w:r w:rsidRPr="0047055E">
        <w:rPr>
          <w:lang w:val="en-US"/>
        </w:rPr>
        <w:t>Using the existing MDT framework in an NTN network requires further considerations and enhancements to cope with the specificities of NTN. One of the key differences between the NTN and the TN networks is the fact that, compared to the TN, in NTN the mapping between the coverage of an NTN cell and the geographical area covered by that cell changes over the time. Indeed, as a satellite follows its orbit the coverage of the satellite cells swipes the surface of the earth meaning that, at two different points in time the same geographical area may be covered by two different NTN cells.  In this context it may be difficult to define an Area Scope for MDT that enables measuring the NTN service coverage in a given geographical area. It is therefore proposed to extend the definition of the MDT Area Scope to enable collection of immediate and logged MDT measurements for the NTN coverage in a specific geographical area.</w:t>
      </w:r>
    </w:p>
    <w:p w14:paraId="4B1FC1AD" w14:textId="63CF96C9" w:rsidR="0047055E" w:rsidRPr="0047055E" w:rsidRDefault="0047055E" w:rsidP="0047055E">
      <w:pPr>
        <w:pStyle w:val="Proposal"/>
        <w:rPr>
          <w:rFonts w:eastAsia="MS Mincho"/>
          <w:lang w:val="en-US"/>
        </w:rPr>
      </w:pPr>
      <w:r w:rsidRPr="0047055E">
        <w:rPr>
          <w:rFonts w:eastAsia="MS Mincho"/>
          <w:lang w:val="en-US"/>
        </w:rPr>
        <w:t>RAN3 to extend the definition of the MDT Area Scope to enable collection immediate and logged MDT measurements for the NTN coverage in a specific geographical area.</w:t>
      </w:r>
    </w:p>
    <w:p w14:paraId="1C55D4A1" w14:textId="0BF4D031" w:rsidR="0047055E" w:rsidRPr="0047055E" w:rsidRDefault="0047055E" w:rsidP="0047055E">
      <w:pPr>
        <w:rPr>
          <w:lang w:val="en-US"/>
        </w:rPr>
      </w:pPr>
      <w:r w:rsidRPr="0047055E">
        <w:rPr>
          <w:lang w:val="en-US"/>
        </w:rPr>
        <w:t>Another aspect of NTN that requires further consideration with respect to MDT is the reporting of UE MDT measurements. Indeed, compared to TN, reporting of UE measurements over the NTN uplink comes with a much higher energy cost on the UE side. This cost is the natural consequence of the fact that for the NTN uplink the distance between the transmitter (the UE on the surface of the earth) and the receiver (the satellite high in orbit) is an order of magnitude higher compared to the distance between the transmitter and the receiver in case of TN uplink (</w:t>
      </w:r>
      <w:proofErr w:type="spellStart"/>
      <w:r w:rsidRPr="0047055E">
        <w:rPr>
          <w:lang w:val="en-US"/>
        </w:rPr>
        <w:t>e,g</w:t>
      </w:r>
      <w:proofErr w:type="spellEnd"/>
      <w:r w:rsidRPr="0047055E">
        <w:rPr>
          <w:lang w:val="en-US"/>
        </w:rPr>
        <w:t>.</w:t>
      </w:r>
      <w:r w:rsidR="00780BC8">
        <w:rPr>
          <w:lang w:val="en-US"/>
        </w:rPr>
        <w:t xml:space="preserve"> </w:t>
      </w:r>
      <w:r w:rsidRPr="0047055E">
        <w:rPr>
          <w:lang w:val="en-US"/>
        </w:rPr>
        <w:t>hundreds/thousands of km for NTN vs hundreds/ thousands of meters for TN). In this context and whenever possible, it is preferable to avoid wasting UE’s battery on sending the MDT reports while the UE is under the service coverage of a NTN and to differ these reports for the times when the UE moves back under the coverage of a TN.</w:t>
      </w:r>
    </w:p>
    <w:p w14:paraId="3ED46C5E" w14:textId="7879FF7C" w:rsidR="00191C2C" w:rsidRPr="0047055E" w:rsidRDefault="0047055E" w:rsidP="0047055E">
      <w:pPr>
        <w:pStyle w:val="Proposal"/>
        <w:rPr>
          <w:lang w:val="en-US"/>
        </w:rPr>
      </w:pPr>
      <w:r w:rsidRPr="0047055E">
        <w:rPr>
          <w:rFonts w:eastAsia="MS Mincho"/>
          <w:lang w:val="en-US"/>
        </w:rPr>
        <w:t>RAN3 to extend the MDT framework to enable instructing the UE and/or the network to avoid triggering UE reporting of MDT measurements while the UE is connected to NTN.</w:t>
      </w:r>
    </w:p>
    <w:p w14:paraId="1A077E97" w14:textId="77777777" w:rsidR="0047055E" w:rsidRDefault="0047055E" w:rsidP="0047055E">
      <w:pPr>
        <w:pStyle w:val="Proposal"/>
        <w:numPr>
          <w:ilvl w:val="0"/>
          <w:numId w:val="0"/>
        </w:numPr>
        <w:ind w:left="1304" w:hanging="1304"/>
        <w:rPr>
          <w:rFonts w:eastAsia="MS Mincho"/>
          <w:lang w:val="en-US"/>
        </w:rPr>
      </w:pPr>
    </w:p>
    <w:p w14:paraId="3148E9CA" w14:textId="5D41E085" w:rsidR="0047055E" w:rsidRPr="005D761B" w:rsidRDefault="007B4D38" w:rsidP="007B4D38">
      <w:pPr>
        <w:pStyle w:val="Heading2"/>
        <w:rPr>
          <w:lang w:val="en-US"/>
        </w:rPr>
      </w:pPr>
      <w:r>
        <w:rPr>
          <w:lang w:val="en-US"/>
        </w:rPr>
        <w:t xml:space="preserve">2.2 </w:t>
      </w:r>
      <w:r w:rsidR="0047055E" w:rsidRPr="0047055E">
        <w:rPr>
          <w:lang w:val="en-US"/>
        </w:rPr>
        <w:t>RLF related enhancements for NTN</w:t>
      </w:r>
    </w:p>
    <w:p w14:paraId="565A964D" w14:textId="77777777" w:rsidR="0047055E" w:rsidRPr="0047055E" w:rsidRDefault="0047055E" w:rsidP="0047055E">
      <w:pPr>
        <w:pStyle w:val="BodyText"/>
        <w:rPr>
          <w:lang w:val="en-US"/>
        </w:rPr>
      </w:pPr>
      <w:r w:rsidRPr="0047055E">
        <w:rPr>
          <w:lang w:val="en-US"/>
        </w:rPr>
        <w:t xml:space="preserve">Current RLF framework has been standardized with terrestrial networks in mind. When a UE declares RLF when in an NTN cell, there are currently no mechanisms to log NTN specific information in the RLF report. Thus, the network, upon receiving this RLF report, cannot fix any specific issues that a NTN network might have. </w:t>
      </w:r>
    </w:p>
    <w:p w14:paraId="6C44E52E" w14:textId="77777777" w:rsidR="0047055E" w:rsidRPr="0047055E" w:rsidRDefault="0047055E" w:rsidP="0047055E">
      <w:pPr>
        <w:pStyle w:val="BodyText"/>
        <w:rPr>
          <w:lang w:val="en-US"/>
        </w:rPr>
      </w:pPr>
      <w:r w:rsidRPr="0047055E">
        <w:rPr>
          <w:lang w:val="en-US"/>
        </w:rPr>
        <w:lastRenderedPageBreak/>
        <w:t xml:space="preserve">Certain addition of NTN related information in the RLF report, for e.g. ephemeris information, NTN related causes such as SIB19/SIB35 failures, can help the network determine the RLF cause. This is critical to ensure a better non-terrestrial network functioning. </w:t>
      </w:r>
    </w:p>
    <w:p w14:paraId="2A19146B" w14:textId="4A4A19BE" w:rsidR="0047055E" w:rsidRPr="0047055E" w:rsidRDefault="0047055E" w:rsidP="007B4D38">
      <w:pPr>
        <w:pStyle w:val="Proposal"/>
        <w:rPr>
          <w:lang w:val="en-US"/>
        </w:rPr>
      </w:pPr>
      <w:r w:rsidRPr="0047055E">
        <w:rPr>
          <w:lang w:val="en-US"/>
        </w:rPr>
        <w:t>RAN3 to discuss enhancing the RLF report framework to support RLFs that occur in NTN networks</w:t>
      </w:r>
      <w:r w:rsidR="008F61B5">
        <w:rPr>
          <w:lang w:val="en-US"/>
        </w:rPr>
        <w:t>.</w:t>
      </w:r>
    </w:p>
    <w:p w14:paraId="1F310658" w14:textId="77777777" w:rsidR="0047055E" w:rsidRPr="0047055E" w:rsidRDefault="0047055E" w:rsidP="0047055E">
      <w:pPr>
        <w:pStyle w:val="BodyText"/>
        <w:rPr>
          <w:lang w:val="en-US"/>
        </w:rPr>
      </w:pPr>
      <w:r w:rsidRPr="0047055E">
        <w:rPr>
          <w:lang w:val="en-US"/>
        </w:rPr>
        <w:t>Some might argue that RLF falls more under RAN2 work, however it is good to keep in mind that RAN2 has very little time to discuss SON related topics during rel-19. Additionally, RAN3 is the leading group for the WI so we think it is prudent to start discussion early and report our outcomes to RAN2.</w:t>
      </w:r>
    </w:p>
    <w:p w14:paraId="36CD1DA9" w14:textId="4BDA4283" w:rsidR="0047055E" w:rsidRPr="0047055E" w:rsidRDefault="0047055E" w:rsidP="00AB2475">
      <w:pPr>
        <w:pStyle w:val="Observation"/>
        <w:ind w:left="1710" w:hanging="1710"/>
        <w:rPr>
          <w:lang w:val="en-US"/>
        </w:rPr>
      </w:pPr>
      <w:r w:rsidRPr="0047055E">
        <w:rPr>
          <w:lang w:val="en-US"/>
        </w:rPr>
        <w:t xml:space="preserve">RAN2 has limited time to discuss SON related topics in rel-19 and RAN3 is the leading group for the WI. </w:t>
      </w:r>
    </w:p>
    <w:p w14:paraId="1F2FC5DC" w14:textId="17F12CB5" w:rsidR="00037D7C" w:rsidRDefault="0047055E" w:rsidP="00AB2475">
      <w:pPr>
        <w:pStyle w:val="Proposal"/>
        <w:tabs>
          <w:tab w:val="clear" w:pos="1304"/>
          <w:tab w:val="clear" w:pos="1701"/>
          <w:tab w:val="num" w:pos="1710"/>
        </w:tabs>
        <w:ind w:left="1710" w:hanging="1710"/>
        <w:rPr>
          <w:lang w:val="en-US"/>
        </w:rPr>
      </w:pPr>
      <w:r w:rsidRPr="0047055E">
        <w:rPr>
          <w:lang w:val="en-US"/>
        </w:rPr>
        <w:t>RAN3 to agree on what additions are needed in the RLF Report and to send an LS to RAN2 with final decision</w:t>
      </w:r>
      <w:r w:rsidR="008F61B5">
        <w:rPr>
          <w:lang w:val="en-US"/>
        </w:rPr>
        <w:t>.</w:t>
      </w:r>
    </w:p>
    <w:p w14:paraId="3A37F370" w14:textId="77777777" w:rsidR="007B4D38" w:rsidRDefault="007B4D38" w:rsidP="0047055E">
      <w:pPr>
        <w:pStyle w:val="BodyText"/>
        <w:rPr>
          <w:lang w:val="en-US"/>
        </w:rPr>
      </w:pPr>
    </w:p>
    <w:p w14:paraId="002EC5DA" w14:textId="6390B4CE" w:rsidR="0047055E" w:rsidRDefault="007B4D38" w:rsidP="007B4D38">
      <w:pPr>
        <w:pStyle w:val="Heading2"/>
        <w:rPr>
          <w:lang w:val="en-US"/>
        </w:rPr>
      </w:pPr>
      <w:r>
        <w:rPr>
          <w:lang w:val="en-US"/>
        </w:rPr>
        <w:t xml:space="preserve">2.3 </w:t>
      </w:r>
      <w:r w:rsidR="0047055E" w:rsidRPr="0047055E">
        <w:rPr>
          <w:lang w:val="en-US"/>
        </w:rPr>
        <w:t>UHI related enhancements for NTN</w:t>
      </w:r>
    </w:p>
    <w:p w14:paraId="06A126E9" w14:textId="77777777" w:rsidR="0047055E" w:rsidRPr="0047055E" w:rsidRDefault="0047055E" w:rsidP="0047055E">
      <w:pPr>
        <w:pStyle w:val="BodyText"/>
        <w:rPr>
          <w:lang w:val="en-US"/>
        </w:rPr>
      </w:pPr>
      <w:r w:rsidRPr="0047055E">
        <w:rPr>
          <w:lang w:val="en-US"/>
        </w:rPr>
        <w:t xml:space="preserve">The final aspect we would like to introduce in the paper is the collection of UE history information (UHI) for NTN. UE history information is network side collection of history of cells that the UE has visited. Initially, this was used to detect and avoid ping-pong. However, this application of UHI has expanded to other use-cases such as trajectory prediction and so on. </w:t>
      </w:r>
    </w:p>
    <w:p w14:paraId="6F5E66F3" w14:textId="77777777" w:rsidR="0047055E" w:rsidRPr="0047055E" w:rsidRDefault="0047055E" w:rsidP="0047055E">
      <w:pPr>
        <w:pStyle w:val="BodyText"/>
        <w:rPr>
          <w:lang w:val="en-US"/>
        </w:rPr>
      </w:pPr>
      <w:r w:rsidRPr="0047055E">
        <w:rPr>
          <w:lang w:val="en-US"/>
        </w:rPr>
        <w:t>Upon successful HO of a UE, the network records the CGI, time stayed, cell type and HO cause value. This UHI needs to be enhanced to indicate to the network that the cell type the UE was in, was a NTN cell. The obvious way of doing this is to enhance the Cell Type IE in UHI to denote that the cell is an NTN cell, in addition to the legacy values of {</w:t>
      </w:r>
      <w:proofErr w:type="spellStart"/>
      <w:r w:rsidRPr="0047055E">
        <w:rPr>
          <w:lang w:val="en-US"/>
        </w:rPr>
        <w:t>verysmall</w:t>
      </w:r>
      <w:proofErr w:type="spellEnd"/>
      <w:r w:rsidRPr="0047055E">
        <w:rPr>
          <w:lang w:val="en-US"/>
        </w:rPr>
        <w:t>, small, medium, large}.</w:t>
      </w:r>
    </w:p>
    <w:p w14:paraId="13A05BDC" w14:textId="5CB0C6FF" w:rsidR="0047055E" w:rsidRPr="0047055E" w:rsidRDefault="0047055E" w:rsidP="007B4D38">
      <w:pPr>
        <w:pStyle w:val="Proposal"/>
        <w:rPr>
          <w:lang w:val="en-US"/>
        </w:rPr>
      </w:pPr>
      <w:r w:rsidRPr="0047055E">
        <w:rPr>
          <w:lang w:val="en-US"/>
        </w:rPr>
        <w:t xml:space="preserve">Add “Non-terrestrial” to Cell Type for indicating the NTN cell in UHI. </w:t>
      </w:r>
    </w:p>
    <w:p w14:paraId="09F0C9D6" w14:textId="290F4A3D" w:rsidR="0047055E" w:rsidRPr="0047055E" w:rsidRDefault="0047055E" w:rsidP="0047055E">
      <w:pPr>
        <w:pStyle w:val="BodyText"/>
        <w:rPr>
          <w:lang w:val="en-US"/>
        </w:rPr>
      </w:pPr>
      <w:r w:rsidRPr="0047055E">
        <w:rPr>
          <w:lang w:val="en-US"/>
        </w:rPr>
        <w:t>The cells in a non-terrestrial network may be moving as opposed to the generally static deployment of a terrestrial network. Thus</w:t>
      </w:r>
      <w:r w:rsidR="00780BC8">
        <w:rPr>
          <w:lang w:val="en-US"/>
        </w:rPr>
        <w:t>,</w:t>
      </w:r>
      <w:r w:rsidRPr="0047055E">
        <w:rPr>
          <w:lang w:val="en-US"/>
        </w:rPr>
        <w:t xml:space="preserve"> one of the new </w:t>
      </w:r>
      <w:r w:rsidR="00780BC8" w:rsidRPr="0047055E">
        <w:rPr>
          <w:lang w:val="en-US"/>
        </w:rPr>
        <w:t>handovers</w:t>
      </w:r>
      <w:r w:rsidRPr="0047055E">
        <w:rPr>
          <w:lang w:val="en-US"/>
        </w:rPr>
        <w:t xml:space="preserve"> causes that might occur is because the cell moved away from the UE, as opposed to the opposite in a terrestrial network. This needs to be added as a cause value in UHI.</w:t>
      </w:r>
    </w:p>
    <w:p w14:paraId="6D98B35E" w14:textId="68F6F683" w:rsidR="0047055E" w:rsidRPr="00037D7C" w:rsidRDefault="0047055E" w:rsidP="007B4D38">
      <w:pPr>
        <w:pStyle w:val="Proposal"/>
        <w:rPr>
          <w:lang w:val="en-US"/>
        </w:rPr>
      </w:pPr>
      <w:r w:rsidRPr="0047055E">
        <w:rPr>
          <w:lang w:val="en-US"/>
        </w:rPr>
        <w:t>Enhance Cause value to reflect cell mobility in an Non-terrestrial network.</w:t>
      </w:r>
    </w:p>
    <w:p w14:paraId="5B1BE7CA" w14:textId="0A6A9201" w:rsidR="00501135" w:rsidRDefault="00882C47" w:rsidP="00DC1289">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sidRPr="001A78F7">
        <w:rPr>
          <w:rFonts w:cs="Arial"/>
        </w:rPr>
        <w:t>3</w:t>
      </w:r>
      <w:r w:rsidR="00501135" w:rsidRPr="001A78F7">
        <w:rPr>
          <w:rFonts w:cs="Arial"/>
        </w:rPr>
        <w:tab/>
      </w:r>
      <w:r w:rsidR="0001024C" w:rsidRPr="001A78F7">
        <w:rPr>
          <w:rFonts w:cs="Arial"/>
        </w:rPr>
        <w:t>Conclusion</w:t>
      </w:r>
      <w:bookmarkEnd w:id="15"/>
      <w:bookmarkEnd w:id="16"/>
      <w:bookmarkEnd w:id="17"/>
      <w:bookmarkEnd w:id="18"/>
      <w:bookmarkEnd w:id="19"/>
      <w:bookmarkEnd w:id="20"/>
      <w:bookmarkEnd w:id="21"/>
    </w:p>
    <w:p w14:paraId="43266DBC" w14:textId="66D89E34" w:rsidR="00D77A4B" w:rsidRDefault="00FD4BD4" w:rsidP="00A70872">
      <w:r w:rsidRPr="00FD4BD4">
        <w:t>SON related enhancements for NTN</w:t>
      </w:r>
      <w:r>
        <w:t xml:space="preserve"> were discussed and the following observation and proposals are made</w:t>
      </w:r>
      <w:r w:rsidR="009E37EC">
        <w:t>:</w:t>
      </w:r>
    </w:p>
    <w:bookmarkEnd w:id="22"/>
    <w:p w14:paraId="214DF273" w14:textId="77777777" w:rsidR="00FD4BD4" w:rsidRDefault="00FD4BD4" w:rsidP="00FD4BD4">
      <w:pPr>
        <w:pStyle w:val="Proposal"/>
        <w:numPr>
          <w:ilvl w:val="0"/>
          <w:numId w:val="32"/>
        </w:numPr>
        <w:tabs>
          <w:tab w:val="clear" w:pos="3005"/>
        </w:tabs>
        <w:ind w:left="1710" w:hanging="1710"/>
        <w:rPr>
          <w:rFonts w:eastAsia="MS Mincho"/>
          <w:lang w:val="en-US"/>
        </w:rPr>
      </w:pPr>
      <w:r w:rsidRPr="00FD4BD4">
        <w:rPr>
          <w:rFonts w:eastAsia="MS Mincho"/>
          <w:lang w:val="en-US"/>
        </w:rPr>
        <w:t>RAN3 to extend the definition of the MDT Area Scope to enable collection immediate and logged MDT measurements for the NTN coverage in a specific geographical area.</w:t>
      </w:r>
    </w:p>
    <w:p w14:paraId="06673ED6" w14:textId="77777777" w:rsidR="00FD4BD4" w:rsidRPr="00FD4BD4" w:rsidRDefault="00FD4BD4" w:rsidP="00FD4BD4">
      <w:pPr>
        <w:pStyle w:val="Proposal"/>
        <w:numPr>
          <w:ilvl w:val="0"/>
          <w:numId w:val="32"/>
        </w:numPr>
        <w:tabs>
          <w:tab w:val="clear" w:pos="3005"/>
        </w:tabs>
        <w:ind w:left="1710" w:hanging="1710"/>
        <w:rPr>
          <w:lang w:val="en-US"/>
        </w:rPr>
      </w:pPr>
      <w:r w:rsidRPr="00FD4BD4">
        <w:rPr>
          <w:rFonts w:eastAsia="MS Mincho"/>
          <w:lang w:val="en-US"/>
        </w:rPr>
        <w:t>RAN3 to extend the MDT framework to enable instructing the UE and/or the network to avoid triggering UE reporting of MDT measurements while the UE is connected to NTN.</w:t>
      </w:r>
    </w:p>
    <w:p w14:paraId="250A4B36" w14:textId="32D2566B" w:rsidR="00FD4BD4" w:rsidRPr="00FD4BD4" w:rsidRDefault="00FD4BD4" w:rsidP="00FD4BD4">
      <w:pPr>
        <w:pStyle w:val="Proposal"/>
        <w:numPr>
          <w:ilvl w:val="0"/>
          <w:numId w:val="32"/>
        </w:numPr>
        <w:tabs>
          <w:tab w:val="clear" w:pos="3005"/>
        </w:tabs>
        <w:ind w:left="1710" w:hanging="1710"/>
        <w:rPr>
          <w:lang w:val="en-US"/>
        </w:rPr>
      </w:pPr>
      <w:r w:rsidRPr="00FD4BD4">
        <w:rPr>
          <w:lang w:val="en-US"/>
        </w:rPr>
        <w:t>RAN3 to discuss enhancing the RLF report framework to support RLFs that occur in NTN networks</w:t>
      </w:r>
      <w:r w:rsidR="008F61B5">
        <w:rPr>
          <w:lang w:val="en-US"/>
        </w:rPr>
        <w:t>.</w:t>
      </w:r>
    </w:p>
    <w:p w14:paraId="4B7EFD22" w14:textId="77777777" w:rsidR="00FD4BD4" w:rsidRDefault="00FD4BD4" w:rsidP="008F61B5">
      <w:pPr>
        <w:pStyle w:val="Observation"/>
        <w:numPr>
          <w:ilvl w:val="0"/>
          <w:numId w:val="33"/>
        </w:numPr>
        <w:ind w:left="1710" w:hanging="1710"/>
        <w:rPr>
          <w:lang w:val="en-US"/>
        </w:rPr>
      </w:pPr>
      <w:r w:rsidRPr="008F61B5">
        <w:rPr>
          <w:lang w:val="en-US"/>
        </w:rPr>
        <w:t xml:space="preserve">RAN2 has limited time to discuss SON related topics in rel-19 and RAN3 is the leading group for the WI. </w:t>
      </w:r>
    </w:p>
    <w:p w14:paraId="3F76246C" w14:textId="77777777" w:rsidR="008F61B5" w:rsidRPr="008F61B5" w:rsidRDefault="008F61B5" w:rsidP="008F61B5">
      <w:pPr>
        <w:pStyle w:val="Proposal"/>
        <w:tabs>
          <w:tab w:val="clear" w:pos="1304"/>
        </w:tabs>
        <w:ind w:left="1710" w:hanging="1710"/>
        <w:rPr>
          <w:lang w:val="en-US"/>
        </w:rPr>
      </w:pPr>
      <w:r w:rsidRPr="008F61B5">
        <w:rPr>
          <w:lang w:val="en-US"/>
        </w:rPr>
        <w:t>RAN3 to agree on what additions are needed in the RLF Report and to send an LS to RAN2 with final decision.</w:t>
      </w:r>
    </w:p>
    <w:p w14:paraId="11D2CD47" w14:textId="77777777" w:rsidR="00FD4BD4" w:rsidRPr="00FD4BD4" w:rsidRDefault="00FD4BD4" w:rsidP="00FD4BD4">
      <w:pPr>
        <w:pStyle w:val="Proposal"/>
        <w:numPr>
          <w:ilvl w:val="0"/>
          <w:numId w:val="32"/>
        </w:numPr>
        <w:ind w:hanging="3005"/>
        <w:rPr>
          <w:lang w:val="en-US"/>
        </w:rPr>
      </w:pPr>
      <w:r w:rsidRPr="00FD4BD4">
        <w:rPr>
          <w:lang w:val="en-US"/>
        </w:rPr>
        <w:t xml:space="preserve">Add “Non-terrestrial” to Cell Type for indicating the NTN cell in UHI. </w:t>
      </w:r>
    </w:p>
    <w:p w14:paraId="0EDE3C89" w14:textId="77777777" w:rsidR="00FD4BD4" w:rsidRPr="00FD4BD4" w:rsidRDefault="00FD4BD4" w:rsidP="00FD4BD4">
      <w:pPr>
        <w:pStyle w:val="Proposal"/>
        <w:numPr>
          <w:ilvl w:val="0"/>
          <w:numId w:val="32"/>
        </w:numPr>
        <w:ind w:hanging="3005"/>
        <w:rPr>
          <w:lang w:val="en-US"/>
        </w:rPr>
      </w:pPr>
      <w:r w:rsidRPr="00FD4BD4">
        <w:rPr>
          <w:lang w:val="en-US"/>
        </w:rPr>
        <w:t>Enhance Cause value to reflect cell mobility in an Non-terrestrial network.</w:t>
      </w:r>
    </w:p>
    <w:p w14:paraId="7EFA4499" w14:textId="0B444544" w:rsidR="0047055E" w:rsidRDefault="0047055E" w:rsidP="0047055E">
      <w:pPr>
        <w:pStyle w:val="Heading1"/>
      </w:pPr>
      <w:r>
        <w:lastRenderedPageBreak/>
        <w:t>4</w:t>
      </w:r>
      <w:r>
        <w:tab/>
        <w:t>References</w:t>
      </w:r>
    </w:p>
    <w:p w14:paraId="13C1CC22" w14:textId="235507E3" w:rsidR="0047055E" w:rsidRPr="0047055E" w:rsidRDefault="001E6251" w:rsidP="001E6251">
      <w:pPr>
        <w:ind w:left="450" w:hanging="450"/>
      </w:pPr>
      <w:r>
        <w:t>[1]</w:t>
      </w:r>
      <w:r>
        <w:tab/>
      </w:r>
      <w:r w:rsidR="0047055E">
        <w:t>RP-234038</w:t>
      </w:r>
      <w:r>
        <w:t>,</w:t>
      </w:r>
      <w:r w:rsidR="0047055E" w:rsidRPr="00F14A6B">
        <w:t xml:space="preserve"> “</w:t>
      </w:r>
      <w:r w:rsidR="0047055E" w:rsidRPr="00B71261">
        <w:t>New WID: Data collection for SON (Self-Organising Networks)/MDT (Minimization of Drive Tests) in NR standalone and MR-DC (Multi-Radio Dual Connectivity) Phase 4</w:t>
      </w:r>
      <w:r w:rsidR="0047055E" w:rsidRPr="00F14A6B">
        <w:t>”, RAN#10</w:t>
      </w:r>
      <w:r w:rsidR="0047055E">
        <w:t>2</w:t>
      </w:r>
      <w:r w:rsidR="0047055E" w:rsidRPr="00F14A6B">
        <w:t xml:space="preserve">, </w:t>
      </w:r>
      <w:r w:rsidR="0047055E">
        <w:t>Edinburgh</w:t>
      </w:r>
      <w:r w:rsidR="0047055E" w:rsidRPr="00F14A6B">
        <w:t xml:space="preserve">, </w:t>
      </w:r>
      <w:r w:rsidR="0047055E">
        <w:t>Scotland</w:t>
      </w:r>
      <w:r w:rsidR="0047055E" w:rsidRPr="00F14A6B">
        <w:t>,</w:t>
      </w:r>
      <w:r w:rsidR="0047055E">
        <w:t xml:space="preserve"> December </w:t>
      </w:r>
      <w:r w:rsidR="0047055E" w:rsidRPr="00F14A6B">
        <w:t>202</w:t>
      </w:r>
      <w:r w:rsidR="0047055E">
        <w:t>3</w:t>
      </w:r>
      <w:r w:rsidR="0047055E" w:rsidRPr="00F14A6B">
        <w:t>.</w:t>
      </w:r>
    </w:p>
    <w:p w14:paraId="5387B2A7" w14:textId="77777777" w:rsidR="0047055E" w:rsidRPr="008827C4" w:rsidRDefault="0047055E" w:rsidP="007075BD">
      <w:pPr>
        <w:pStyle w:val="Proposal"/>
        <w:numPr>
          <w:ilvl w:val="0"/>
          <w:numId w:val="0"/>
        </w:numPr>
        <w:tabs>
          <w:tab w:val="clear" w:pos="1701"/>
        </w:tabs>
      </w:pPr>
    </w:p>
    <w:sectPr w:rsidR="0047055E" w:rsidRPr="008827C4" w:rsidSect="004125FA">
      <w:footerReference w:type="even"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49F47" w14:textId="77777777" w:rsidR="00DA6A39" w:rsidRDefault="00DA6A39">
      <w:r>
        <w:separator/>
      </w:r>
    </w:p>
  </w:endnote>
  <w:endnote w:type="continuationSeparator" w:id="0">
    <w:p w14:paraId="4C091827" w14:textId="77777777" w:rsidR="00DA6A39" w:rsidRDefault="00DA6A39">
      <w:r>
        <w:continuationSeparator/>
      </w:r>
    </w:p>
  </w:endnote>
  <w:endnote w:type="continuationNotice" w:id="1">
    <w:p w14:paraId="0833EB02" w14:textId="77777777" w:rsidR="00DA6A39" w:rsidRDefault="00DA6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050D8D7D"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5118">
      <w:rPr>
        <w:rStyle w:val="PageNumber"/>
        <w:noProof/>
      </w:rPr>
      <w:t>7</w:t>
    </w:r>
    <w:r>
      <w:rPr>
        <w:rStyle w:val="PageNumber"/>
      </w:rPr>
      <w:fldChar w:fldCharType="end"/>
    </w:r>
  </w:p>
  <w:p w14:paraId="4153586D"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E5D9" w14:textId="77777777" w:rsidR="00DA6A39" w:rsidRDefault="00DA6A39">
      <w:r>
        <w:separator/>
      </w:r>
    </w:p>
  </w:footnote>
  <w:footnote w:type="continuationSeparator" w:id="0">
    <w:p w14:paraId="034C1E5B" w14:textId="77777777" w:rsidR="00DA6A39" w:rsidRDefault="00DA6A39">
      <w:r>
        <w:continuationSeparator/>
      </w:r>
    </w:p>
  </w:footnote>
  <w:footnote w:type="continuationNotice" w:id="1">
    <w:p w14:paraId="09686E0A" w14:textId="77777777" w:rsidR="00DA6A39" w:rsidRDefault="00DA6A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1"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6385B"/>
    <w:multiLevelType w:val="hybridMultilevel"/>
    <w:tmpl w:val="7AC073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43248D"/>
    <w:multiLevelType w:val="hybridMultilevel"/>
    <w:tmpl w:val="E83ABCA6"/>
    <w:lvl w:ilvl="0" w:tplc="E2C2D994">
      <w:start w:val="1"/>
      <w:numFmt w:val="bullet"/>
      <w:lvlText w:val=""/>
      <w:lvlJc w:val="left"/>
      <w:pPr>
        <w:tabs>
          <w:tab w:val="num" w:pos="720"/>
        </w:tabs>
        <w:ind w:left="720" w:hanging="360"/>
      </w:pPr>
      <w:rPr>
        <w:rFonts w:ascii="Symbol" w:hAnsi="Symbol" w:hint="default"/>
      </w:rPr>
    </w:lvl>
    <w:lvl w:ilvl="1" w:tplc="B07296A2" w:tentative="1">
      <w:start w:val="1"/>
      <w:numFmt w:val="bullet"/>
      <w:lvlText w:val=""/>
      <w:lvlJc w:val="left"/>
      <w:pPr>
        <w:tabs>
          <w:tab w:val="num" w:pos="1440"/>
        </w:tabs>
        <w:ind w:left="1440" w:hanging="360"/>
      </w:pPr>
      <w:rPr>
        <w:rFonts w:ascii="Symbol" w:hAnsi="Symbol" w:hint="default"/>
      </w:rPr>
    </w:lvl>
    <w:lvl w:ilvl="2" w:tplc="46103B00" w:tentative="1">
      <w:start w:val="1"/>
      <w:numFmt w:val="bullet"/>
      <w:lvlText w:val=""/>
      <w:lvlJc w:val="left"/>
      <w:pPr>
        <w:tabs>
          <w:tab w:val="num" w:pos="2160"/>
        </w:tabs>
        <w:ind w:left="2160" w:hanging="360"/>
      </w:pPr>
      <w:rPr>
        <w:rFonts w:ascii="Symbol" w:hAnsi="Symbol" w:hint="default"/>
      </w:rPr>
    </w:lvl>
    <w:lvl w:ilvl="3" w:tplc="C4E88BE0">
      <w:start w:val="1"/>
      <w:numFmt w:val="bullet"/>
      <w:lvlText w:val=""/>
      <w:lvlJc w:val="left"/>
      <w:pPr>
        <w:tabs>
          <w:tab w:val="num" w:pos="2880"/>
        </w:tabs>
        <w:ind w:left="2880" w:hanging="360"/>
      </w:pPr>
      <w:rPr>
        <w:rFonts w:ascii="Symbol" w:hAnsi="Symbol" w:hint="default"/>
      </w:rPr>
    </w:lvl>
    <w:lvl w:ilvl="4" w:tplc="AEA2EF14">
      <w:numFmt w:val="bullet"/>
      <w:lvlText w:val=""/>
      <w:lvlJc w:val="left"/>
      <w:pPr>
        <w:tabs>
          <w:tab w:val="num" w:pos="3600"/>
        </w:tabs>
        <w:ind w:left="3600" w:hanging="360"/>
      </w:pPr>
      <w:rPr>
        <w:rFonts w:ascii="Symbol" w:hAnsi="Symbol" w:hint="default"/>
      </w:rPr>
    </w:lvl>
    <w:lvl w:ilvl="5" w:tplc="74F8DD2A" w:tentative="1">
      <w:start w:val="1"/>
      <w:numFmt w:val="bullet"/>
      <w:lvlText w:val=""/>
      <w:lvlJc w:val="left"/>
      <w:pPr>
        <w:tabs>
          <w:tab w:val="num" w:pos="4320"/>
        </w:tabs>
        <w:ind w:left="4320" w:hanging="360"/>
      </w:pPr>
      <w:rPr>
        <w:rFonts w:ascii="Symbol" w:hAnsi="Symbol" w:hint="default"/>
      </w:rPr>
    </w:lvl>
    <w:lvl w:ilvl="6" w:tplc="37B8EBAE" w:tentative="1">
      <w:start w:val="1"/>
      <w:numFmt w:val="bullet"/>
      <w:lvlText w:val=""/>
      <w:lvlJc w:val="left"/>
      <w:pPr>
        <w:tabs>
          <w:tab w:val="num" w:pos="5040"/>
        </w:tabs>
        <w:ind w:left="5040" w:hanging="360"/>
      </w:pPr>
      <w:rPr>
        <w:rFonts w:ascii="Symbol" w:hAnsi="Symbol" w:hint="default"/>
      </w:rPr>
    </w:lvl>
    <w:lvl w:ilvl="7" w:tplc="372AA1BA" w:tentative="1">
      <w:start w:val="1"/>
      <w:numFmt w:val="bullet"/>
      <w:lvlText w:val=""/>
      <w:lvlJc w:val="left"/>
      <w:pPr>
        <w:tabs>
          <w:tab w:val="num" w:pos="5760"/>
        </w:tabs>
        <w:ind w:left="5760" w:hanging="360"/>
      </w:pPr>
      <w:rPr>
        <w:rFonts w:ascii="Symbol" w:hAnsi="Symbol" w:hint="default"/>
      </w:rPr>
    </w:lvl>
    <w:lvl w:ilvl="8" w:tplc="E50466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255679"/>
    <w:multiLevelType w:val="hybridMultilevel"/>
    <w:tmpl w:val="41782C8C"/>
    <w:lvl w:ilvl="0" w:tplc="76E6CA64">
      <w:start w:val="1"/>
      <w:numFmt w:val="bullet"/>
      <w:lvlText w:val=""/>
      <w:lvlJc w:val="left"/>
      <w:pPr>
        <w:tabs>
          <w:tab w:val="num" w:pos="720"/>
        </w:tabs>
        <w:ind w:left="720" w:hanging="360"/>
      </w:pPr>
      <w:rPr>
        <w:rFonts w:ascii="Symbol" w:hAnsi="Symbol" w:hint="default"/>
      </w:rPr>
    </w:lvl>
    <w:lvl w:ilvl="1" w:tplc="F4D8BB1A" w:tentative="1">
      <w:start w:val="1"/>
      <w:numFmt w:val="bullet"/>
      <w:lvlText w:val=""/>
      <w:lvlJc w:val="left"/>
      <w:pPr>
        <w:tabs>
          <w:tab w:val="num" w:pos="1440"/>
        </w:tabs>
        <w:ind w:left="1440" w:hanging="360"/>
      </w:pPr>
      <w:rPr>
        <w:rFonts w:ascii="Symbol" w:hAnsi="Symbol" w:hint="default"/>
      </w:rPr>
    </w:lvl>
    <w:lvl w:ilvl="2" w:tplc="47669BD0">
      <w:start w:val="1"/>
      <w:numFmt w:val="bullet"/>
      <w:lvlText w:val=""/>
      <w:lvlJc w:val="left"/>
      <w:pPr>
        <w:tabs>
          <w:tab w:val="num" w:pos="2160"/>
        </w:tabs>
        <w:ind w:left="2160" w:hanging="360"/>
      </w:pPr>
      <w:rPr>
        <w:rFonts w:ascii="Symbol" w:hAnsi="Symbol" w:hint="default"/>
      </w:rPr>
    </w:lvl>
    <w:lvl w:ilvl="3" w:tplc="1070E074" w:tentative="1">
      <w:start w:val="1"/>
      <w:numFmt w:val="bullet"/>
      <w:lvlText w:val=""/>
      <w:lvlJc w:val="left"/>
      <w:pPr>
        <w:tabs>
          <w:tab w:val="num" w:pos="2880"/>
        </w:tabs>
        <w:ind w:left="2880" w:hanging="360"/>
      </w:pPr>
      <w:rPr>
        <w:rFonts w:ascii="Symbol" w:hAnsi="Symbol" w:hint="default"/>
      </w:rPr>
    </w:lvl>
    <w:lvl w:ilvl="4" w:tplc="5748CB28" w:tentative="1">
      <w:start w:val="1"/>
      <w:numFmt w:val="bullet"/>
      <w:lvlText w:val=""/>
      <w:lvlJc w:val="left"/>
      <w:pPr>
        <w:tabs>
          <w:tab w:val="num" w:pos="3600"/>
        </w:tabs>
        <w:ind w:left="3600" w:hanging="360"/>
      </w:pPr>
      <w:rPr>
        <w:rFonts w:ascii="Symbol" w:hAnsi="Symbol" w:hint="default"/>
      </w:rPr>
    </w:lvl>
    <w:lvl w:ilvl="5" w:tplc="6ABC3944" w:tentative="1">
      <w:start w:val="1"/>
      <w:numFmt w:val="bullet"/>
      <w:lvlText w:val=""/>
      <w:lvlJc w:val="left"/>
      <w:pPr>
        <w:tabs>
          <w:tab w:val="num" w:pos="4320"/>
        </w:tabs>
        <w:ind w:left="4320" w:hanging="360"/>
      </w:pPr>
      <w:rPr>
        <w:rFonts w:ascii="Symbol" w:hAnsi="Symbol" w:hint="default"/>
      </w:rPr>
    </w:lvl>
    <w:lvl w:ilvl="6" w:tplc="57A6ED32" w:tentative="1">
      <w:start w:val="1"/>
      <w:numFmt w:val="bullet"/>
      <w:lvlText w:val=""/>
      <w:lvlJc w:val="left"/>
      <w:pPr>
        <w:tabs>
          <w:tab w:val="num" w:pos="5040"/>
        </w:tabs>
        <w:ind w:left="5040" w:hanging="360"/>
      </w:pPr>
      <w:rPr>
        <w:rFonts w:ascii="Symbol" w:hAnsi="Symbol" w:hint="default"/>
      </w:rPr>
    </w:lvl>
    <w:lvl w:ilvl="7" w:tplc="54F25F54" w:tentative="1">
      <w:start w:val="1"/>
      <w:numFmt w:val="bullet"/>
      <w:lvlText w:val=""/>
      <w:lvlJc w:val="left"/>
      <w:pPr>
        <w:tabs>
          <w:tab w:val="num" w:pos="5760"/>
        </w:tabs>
        <w:ind w:left="5760" w:hanging="360"/>
      </w:pPr>
      <w:rPr>
        <w:rFonts w:ascii="Symbol" w:hAnsi="Symbol" w:hint="default"/>
      </w:rPr>
    </w:lvl>
    <w:lvl w:ilvl="8" w:tplc="71380FB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6" w15:restartNumberingAfterBreak="0">
    <w:nsid w:val="1A821B54"/>
    <w:multiLevelType w:val="hybridMultilevel"/>
    <w:tmpl w:val="47C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A46647"/>
    <w:multiLevelType w:val="hybridMultilevel"/>
    <w:tmpl w:val="7180C460"/>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7290D16"/>
    <w:multiLevelType w:val="hybridMultilevel"/>
    <w:tmpl w:val="7220C0FA"/>
    <w:lvl w:ilvl="0" w:tplc="ABD48480">
      <w:start w:val="1"/>
      <w:numFmt w:val="bullet"/>
      <w:lvlText w:val=""/>
      <w:lvlJc w:val="left"/>
      <w:pPr>
        <w:tabs>
          <w:tab w:val="num" w:pos="720"/>
        </w:tabs>
        <w:ind w:left="720" w:hanging="360"/>
      </w:pPr>
      <w:rPr>
        <w:rFonts w:ascii="Symbol" w:hAnsi="Symbol" w:hint="default"/>
      </w:rPr>
    </w:lvl>
    <w:lvl w:ilvl="1" w:tplc="C27EF9A0">
      <w:start w:val="1"/>
      <w:numFmt w:val="bullet"/>
      <w:lvlText w:val=""/>
      <w:lvlJc w:val="left"/>
      <w:pPr>
        <w:tabs>
          <w:tab w:val="num" w:pos="1440"/>
        </w:tabs>
        <w:ind w:left="1440" w:hanging="360"/>
      </w:pPr>
      <w:rPr>
        <w:rFonts w:ascii="Symbol" w:hAnsi="Symbol" w:hint="default"/>
      </w:rPr>
    </w:lvl>
    <w:lvl w:ilvl="2" w:tplc="2C80B522">
      <w:numFmt w:val="bullet"/>
      <w:lvlText w:val=""/>
      <w:lvlJc w:val="left"/>
      <w:pPr>
        <w:tabs>
          <w:tab w:val="num" w:pos="2160"/>
        </w:tabs>
        <w:ind w:left="2160" w:hanging="360"/>
      </w:pPr>
      <w:rPr>
        <w:rFonts w:ascii="Symbol" w:hAnsi="Symbol" w:hint="default"/>
      </w:rPr>
    </w:lvl>
    <w:lvl w:ilvl="3" w:tplc="80C8120A" w:tentative="1">
      <w:start w:val="1"/>
      <w:numFmt w:val="bullet"/>
      <w:lvlText w:val=""/>
      <w:lvlJc w:val="left"/>
      <w:pPr>
        <w:tabs>
          <w:tab w:val="num" w:pos="2880"/>
        </w:tabs>
        <w:ind w:left="2880" w:hanging="360"/>
      </w:pPr>
      <w:rPr>
        <w:rFonts w:ascii="Symbol" w:hAnsi="Symbol" w:hint="default"/>
      </w:rPr>
    </w:lvl>
    <w:lvl w:ilvl="4" w:tplc="505652D6" w:tentative="1">
      <w:start w:val="1"/>
      <w:numFmt w:val="bullet"/>
      <w:lvlText w:val=""/>
      <w:lvlJc w:val="left"/>
      <w:pPr>
        <w:tabs>
          <w:tab w:val="num" w:pos="3600"/>
        </w:tabs>
        <w:ind w:left="3600" w:hanging="360"/>
      </w:pPr>
      <w:rPr>
        <w:rFonts w:ascii="Symbol" w:hAnsi="Symbol" w:hint="default"/>
      </w:rPr>
    </w:lvl>
    <w:lvl w:ilvl="5" w:tplc="5052B21E" w:tentative="1">
      <w:start w:val="1"/>
      <w:numFmt w:val="bullet"/>
      <w:lvlText w:val=""/>
      <w:lvlJc w:val="left"/>
      <w:pPr>
        <w:tabs>
          <w:tab w:val="num" w:pos="4320"/>
        </w:tabs>
        <w:ind w:left="4320" w:hanging="360"/>
      </w:pPr>
      <w:rPr>
        <w:rFonts w:ascii="Symbol" w:hAnsi="Symbol" w:hint="default"/>
      </w:rPr>
    </w:lvl>
    <w:lvl w:ilvl="6" w:tplc="E020F160" w:tentative="1">
      <w:start w:val="1"/>
      <w:numFmt w:val="bullet"/>
      <w:lvlText w:val=""/>
      <w:lvlJc w:val="left"/>
      <w:pPr>
        <w:tabs>
          <w:tab w:val="num" w:pos="5040"/>
        </w:tabs>
        <w:ind w:left="5040" w:hanging="360"/>
      </w:pPr>
      <w:rPr>
        <w:rFonts w:ascii="Symbol" w:hAnsi="Symbol" w:hint="default"/>
      </w:rPr>
    </w:lvl>
    <w:lvl w:ilvl="7" w:tplc="997EDDDE" w:tentative="1">
      <w:start w:val="1"/>
      <w:numFmt w:val="bullet"/>
      <w:lvlText w:val=""/>
      <w:lvlJc w:val="left"/>
      <w:pPr>
        <w:tabs>
          <w:tab w:val="num" w:pos="5760"/>
        </w:tabs>
        <w:ind w:left="5760" w:hanging="360"/>
      </w:pPr>
      <w:rPr>
        <w:rFonts w:ascii="Symbol" w:hAnsi="Symbol" w:hint="default"/>
      </w:rPr>
    </w:lvl>
    <w:lvl w:ilvl="8" w:tplc="0C30FE5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40E86"/>
    <w:multiLevelType w:val="hybridMultilevel"/>
    <w:tmpl w:val="ABE61D56"/>
    <w:lvl w:ilvl="0" w:tplc="F5FC5128">
      <w:start w:val="1"/>
      <w:numFmt w:val="bullet"/>
      <w:lvlText w:val=""/>
      <w:lvlJc w:val="left"/>
      <w:pPr>
        <w:tabs>
          <w:tab w:val="num" w:pos="720"/>
        </w:tabs>
        <w:ind w:left="720" w:hanging="360"/>
      </w:pPr>
      <w:rPr>
        <w:rFonts w:ascii="Symbol" w:hAnsi="Symbol" w:hint="default"/>
      </w:rPr>
    </w:lvl>
    <w:lvl w:ilvl="1" w:tplc="CABE706A" w:tentative="1">
      <w:start w:val="1"/>
      <w:numFmt w:val="bullet"/>
      <w:lvlText w:val=""/>
      <w:lvlJc w:val="left"/>
      <w:pPr>
        <w:tabs>
          <w:tab w:val="num" w:pos="1440"/>
        </w:tabs>
        <w:ind w:left="1440" w:hanging="360"/>
      </w:pPr>
      <w:rPr>
        <w:rFonts w:ascii="Symbol" w:hAnsi="Symbol" w:hint="default"/>
      </w:rPr>
    </w:lvl>
    <w:lvl w:ilvl="2" w:tplc="2AF20D66">
      <w:start w:val="1"/>
      <w:numFmt w:val="bullet"/>
      <w:lvlText w:val=""/>
      <w:lvlJc w:val="left"/>
      <w:pPr>
        <w:tabs>
          <w:tab w:val="num" w:pos="2160"/>
        </w:tabs>
        <w:ind w:left="2160" w:hanging="360"/>
      </w:pPr>
      <w:rPr>
        <w:rFonts w:ascii="Symbol" w:hAnsi="Symbol" w:hint="default"/>
      </w:rPr>
    </w:lvl>
    <w:lvl w:ilvl="3" w:tplc="59126828" w:tentative="1">
      <w:start w:val="1"/>
      <w:numFmt w:val="bullet"/>
      <w:lvlText w:val=""/>
      <w:lvlJc w:val="left"/>
      <w:pPr>
        <w:tabs>
          <w:tab w:val="num" w:pos="2880"/>
        </w:tabs>
        <w:ind w:left="2880" w:hanging="360"/>
      </w:pPr>
      <w:rPr>
        <w:rFonts w:ascii="Symbol" w:hAnsi="Symbol" w:hint="default"/>
      </w:rPr>
    </w:lvl>
    <w:lvl w:ilvl="4" w:tplc="25EA006E" w:tentative="1">
      <w:start w:val="1"/>
      <w:numFmt w:val="bullet"/>
      <w:lvlText w:val=""/>
      <w:lvlJc w:val="left"/>
      <w:pPr>
        <w:tabs>
          <w:tab w:val="num" w:pos="3600"/>
        </w:tabs>
        <w:ind w:left="3600" w:hanging="360"/>
      </w:pPr>
      <w:rPr>
        <w:rFonts w:ascii="Symbol" w:hAnsi="Symbol" w:hint="default"/>
      </w:rPr>
    </w:lvl>
    <w:lvl w:ilvl="5" w:tplc="B7F233AE" w:tentative="1">
      <w:start w:val="1"/>
      <w:numFmt w:val="bullet"/>
      <w:lvlText w:val=""/>
      <w:lvlJc w:val="left"/>
      <w:pPr>
        <w:tabs>
          <w:tab w:val="num" w:pos="4320"/>
        </w:tabs>
        <w:ind w:left="4320" w:hanging="360"/>
      </w:pPr>
      <w:rPr>
        <w:rFonts w:ascii="Symbol" w:hAnsi="Symbol" w:hint="default"/>
      </w:rPr>
    </w:lvl>
    <w:lvl w:ilvl="6" w:tplc="F8DEECC0" w:tentative="1">
      <w:start w:val="1"/>
      <w:numFmt w:val="bullet"/>
      <w:lvlText w:val=""/>
      <w:lvlJc w:val="left"/>
      <w:pPr>
        <w:tabs>
          <w:tab w:val="num" w:pos="5040"/>
        </w:tabs>
        <w:ind w:left="5040" w:hanging="360"/>
      </w:pPr>
      <w:rPr>
        <w:rFonts w:ascii="Symbol" w:hAnsi="Symbol" w:hint="default"/>
      </w:rPr>
    </w:lvl>
    <w:lvl w:ilvl="7" w:tplc="3A0075AC" w:tentative="1">
      <w:start w:val="1"/>
      <w:numFmt w:val="bullet"/>
      <w:lvlText w:val=""/>
      <w:lvlJc w:val="left"/>
      <w:pPr>
        <w:tabs>
          <w:tab w:val="num" w:pos="5760"/>
        </w:tabs>
        <w:ind w:left="5760" w:hanging="360"/>
      </w:pPr>
      <w:rPr>
        <w:rFonts w:ascii="Symbol" w:hAnsi="Symbol" w:hint="default"/>
      </w:rPr>
    </w:lvl>
    <w:lvl w:ilvl="8" w:tplc="B5BC9F9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383A18"/>
    <w:multiLevelType w:val="hybridMultilevel"/>
    <w:tmpl w:val="EFDED8BA"/>
    <w:lvl w:ilvl="0" w:tplc="EDEAC71C">
      <w:start w:val="1"/>
      <w:numFmt w:val="bullet"/>
      <w:lvlText w:val=""/>
      <w:lvlJc w:val="left"/>
      <w:pPr>
        <w:tabs>
          <w:tab w:val="num" w:pos="720"/>
        </w:tabs>
        <w:ind w:left="720" w:hanging="360"/>
      </w:pPr>
      <w:rPr>
        <w:rFonts w:ascii="Symbol" w:hAnsi="Symbol" w:hint="default"/>
      </w:rPr>
    </w:lvl>
    <w:lvl w:ilvl="1" w:tplc="13EA7472">
      <w:start w:val="1"/>
      <w:numFmt w:val="bullet"/>
      <w:lvlText w:val=""/>
      <w:lvlJc w:val="left"/>
      <w:pPr>
        <w:tabs>
          <w:tab w:val="num" w:pos="1440"/>
        </w:tabs>
        <w:ind w:left="1440" w:hanging="360"/>
      </w:pPr>
      <w:rPr>
        <w:rFonts w:ascii="Symbol" w:hAnsi="Symbol" w:hint="default"/>
      </w:rPr>
    </w:lvl>
    <w:lvl w:ilvl="2" w:tplc="B9D0DE0E">
      <w:numFmt w:val="bullet"/>
      <w:lvlText w:val=""/>
      <w:lvlJc w:val="left"/>
      <w:pPr>
        <w:tabs>
          <w:tab w:val="num" w:pos="2160"/>
        </w:tabs>
        <w:ind w:left="2160" w:hanging="360"/>
      </w:pPr>
      <w:rPr>
        <w:rFonts w:ascii="Symbol" w:hAnsi="Symbol" w:hint="default"/>
      </w:rPr>
    </w:lvl>
    <w:lvl w:ilvl="3" w:tplc="45147036" w:tentative="1">
      <w:start w:val="1"/>
      <w:numFmt w:val="bullet"/>
      <w:lvlText w:val=""/>
      <w:lvlJc w:val="left"/>
      <w:pPr>
        <w:tabs>
          <w:tab w:val="num" w:pos="2880"/>
        </w:tabs>
        <w:ind w:left="2880" w:hanging="360"/>
      </w:pPr>
      <w:rPr>
        <w:rFonts w:ascii="Symbol" w:hAnsi="Symbol" w:hint="default"/>
      </w:rPr>
    </w:lvl>
    <w:lvl w:ilvl="4" w:tplc="2F1A5A5A" w:tentative="1">
      <w:start w:val="1"/>
      <w:numFmt w:val="bullet"/>
      <w:lvlText w:val=""/>
      <w:lvlJc w:val="left"/>
      <w:pPr>
        <w:tabs>
          <w:tab w:val="num" w:pos="3600"/>
        </w:tabs>
        <w:ind w:left="3600" w:hanging="360"/>
      </w:pPr>
      <w:rPr>
        <w:rFonts w:ascii="Symbol" w:hAnsi="Symbol" w:hint="default"/>
      </w:rPr>
    </w:lvl>
    <w:lvl w:ilvl="5" w:tplc="9D426AF4" w:tentative="1">
      <w:start w:val="1"/>
      <w:numFmt w:val="bullet"/>
      <w:lvlText w:val=""/>
      <w:lvlJc w:val="left"/>
      <w:pPr>
        <w:tabs>
          <w:tab w:val="num" w:pos="4320"/>
        </w:tabs>
        <w:ind w:left="4320" w:hanging="360"/>
      </w:pPr>
      <w:rPr>
        <w:rFonts w:ascii="Symbol" w:hAnsi="Symbol" w:hint="default"/>
      </w:rPr>
    </w:lvl>
    <w:lvl w:ilvl="6" w:tplc="9D569978" w:tentative="1">
      <w:start w:val="1"/>
      <w:numFmt w:val="bullet"/>
      <w:lvlText w:val=""/>
      <w:lvlJc w:val="left"/>
      <w:pPr>
        <w:tabs>
          <w:tab w:val="num" w:pos="5040"/>
        </w:tabs>
        <w:ind w:left="5040" w:hanging="360"/>
      </w:pPr>
      <w:rPr>
        <w:rFonts w:ascii="Symbol" w:hAnsi="Symbol" w:hint="default"/>
      </w:rPr>
    </w:lvl>
    <w:lvl w:ilvl="7" w:tplc="384AE4B8" w:tentative="1">
      <w:start w:val="1"/>
      <w:numFmt w:val="bullet"/>
      <w:lvlText w:val=""/>
      <w:lvlJc w:val="left"/>
      <w:pPr>
        <w:tabs>
          <w:tab w:val="num" w:pos="5760"/>
        </w:tabs>
        <w:ind w:left="5760" w:hanging="360"/>
      </w:pPr>
      <w:rPr>
        <w:rFonts w:ascii="Symbol" w:hAnsi="Symbol" w:hint="default"/>
      </w:rPr>
    </w:lvl>
    <w:lvl w:ilvl="8" w:tplc="1652B48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0"/>
  </w:num>
  <w:num w:numId="2" w16cid:durableId="641814964">
    <w:abstractNumId w:val="9"/>
  </w:num>
  <w:num w:numId="3" w16cid:durableId="576673672">
    <w:abstractNumId w:val="13"/>
  </w:num>
  <w:num w:numId="4" w16cid:durableId="1972897750">
    <w:abstractNumId w:val="17"/>
  </w:num>
  <w:num w:numId="5" w16cid:durableId="1465854021">
    <w:abstractNumId w:val="10"/>
  </w:num>
  <w:num w:numId="6" w16cid:durableId="417756076">
    <w:abstractNumId w:val="16"/>
  </w:num>
  <w:num w:numId="7" w16cid:durableId="1650400409">
    <w:abstractNumId w:val="21"/>
  </w:num>
  <w:num w:numId="8" w16cid:durableId="390422210">
    <w:abstractNumId w:val="5"/>
  </w:num>
  <w:num w:numId="9" w16cid:durableId="1530873888">
    <w:abstractNumId w:val="9"/>
    <w:lvlOverride w:ilvl="0">
      <w:startOverride w:val="1"/>
    </w:lvlOverride>
  </w:num>
  <w:num w:numId="10" w16cid:durableId="26149174">
    <w:abstractNumId w:val="12"/>
  </w:num>
  <w:num w:numId="11" w16cid:durableId="731319373">
    <w:abstractNumId w:val="14"/>
  </w:num>
  <w:num w:numId="12" w16cid:durableId="1762410898">
    <w:abstractNumId w:val="11"/>
  </w:num>
  <w:num w:numId="13" w16cid:durableId="632829614">
    <w:abstractNumId w:val="24"/>
  </w:num>
  <w:num w:numId="14" w16cid:durableId="1632249185">
    <w:abstractNumId w:val="7"/>
  </w:num>
  <w:num w:numId="15" w16cid:durableId="2038850292">
    <w:abstractNumId w:val="20"/>
  </w:num>
  <w:num w:numId="16" w16cid:durableId="720207504">
    <w:abstractNumId w:val="8"/>
  </w:num>
  <w:num w:numId="17" w16cid:durableId="719942910">
    <w:abstractNumId w:val="25"/>
  </w:num>
  <w:num w:numId="18" w16cid:durableId="2019580249">
    <w:abstractNumId w:val="9"/>
  </w:num>
  <w:num w:numId="19" w16cid:durableId="1046755124">
    <w:abstractNumId w:val="13"/>
    <w:lvlOverride w:ilvl="0">
      <w:startOverride w:val="1"/>
    </w:lvlOverride>
  </w:num>
  <w:num w:numId="20" w16cid:durableId="2119329438">
    <w:abstractNumId w:val="22"/>
  </w:num>
  <w:num w:numId="21" w16cid:durableId="279149689">
    <w:abstractNumId w:val="23"/>
  </w:num>
  <w:num w:numId="22" w16cid:durableId="1525094842">
    <w:abstractNumId w:val="15"/>
  </w:num>
  <w:num w:numId="23" w16cid:durableId="104428267">
    <w:abstractNumId w:val="3"/>
  </w:num>
  <w:num w:numId="24" w16cid:durableId="1071734300">
    <w:abstractNumId w:val="6"/>
  </w:num>
  <w:num w:numId="25" w16cid:durableId="1812333462">
    <w:abstractNumId w:val="18"/>
  </w:num>
  <w:num w:numId="26" w16cid:durableId="1293026303">
    <w:abstractNumId w:val="13"/>
  </w:num>
  <w:num w:numId="27" w16cid:durableId="1222249964">
    <w:abstractNumId w:val="19"/>
  </w:num>
  <w:num w:numId="28" w16cid:durableId="1804034940">
    <w:abstractNumId w:val="13"/>
  </w:num>
  <w:num w:numId="29" w16cid:durableId="465586183">
    <w:abstractNumId w:val="1"/>
  </w:num>
  <w:num w:numId="30" w16cid:durableId="316804804">
    <w:abstractNumId w:val="4"/>
  </w:num>
  <w:num w:numId="31" w16cid:durableId="1141386523">
    <w:abstractNumId w:val="2"/>
  </w:num>
  <w:num w:numId="32" w16cid:durableId="1172986410">
    <w:abstractNumId w:val="9"/>
    <w:lvlOverride w:ilvl="0">
      <w:startOverride w:val="1"/>
    </w:lvlOverride>
  </w:num>
  <w:num w:numId="33" w16cid:durableId="263458422">
    <w:abstractNumId w:val="1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BF6"/>
    <w:rsid w:val="00004A98"/>
    <w:rsid w:val="00004B34"/>
    <w:rsid w:val="0001024C"/>
    <w:rsid w:val="00010D73"/>
    <w:rsid w:val="00011E6A"/>
    <w:rsid w:val="0001261C"/>
    <w:rsid w:val="000131D0"/>
    <w:rsid w:val="00015B93"/>
    <w:rsid w:val="00017934"/>
    <w:rsid w:val="000232DC"/>
    <w:rsid w:val="000233A4"/>
    <w:rsid w:val="000267EE"/>
    <w:rsid w:val="00026DC1"/>
    <w:rsid w:val="000314B7"/>
    <w:rsid w:val="00036721"/>
    <w:rsid w:val="0003699E"/>
    <w:rsid w:val="00037D7C"/>
    <w:rsid w:val="00040BF1"/>
    <w:rsid w:val="00041461"/>
    <w:rsid w:val="00043C35"/>
    <w:rsid w:val="00055F72"/>
    <w:rsid w:val="00062261"/>
    <w:rsid w:val="00063202"/>
    <w:rsid w:val="00063B15"/>
    <w:rsid w:val="000640DF"/>
    <w:rsid w:val="000667D0"/>
    <w:rsid w:val="00077EDC"/>
    <w:rsid w:val="000806BF"/>
    <w:rsid w:val="0008219A"/>
    <w:rsid w:val="000824C0"/>
    <w:rsid w:val="00086F7B"/>
    <w:rsid w:val="00091148"/>
    <w:rsid w:val="00094B7E"/>
    <w:rsid w:val="00094D8E"/>
    <w:rsid w:val="000A05B2"/>
    <w:rsid w:val="000A0A38"/>
    <w:rsid w:val="000A2E1D"/>
    <w:rsid w:val="000A5930"/>
    <w:rsid w:val="000B0ADE"/>
    <w:rsid w:val="000B402C"/>
    <w:rsid w:val="000B45AC"/>
    <w:rsid w:val="000C2BFF"/>
    <w:rsid w:val="000C4641"/>
    <w:rsid w:val="000C716F"/>
    <w:rsid w:val="000D1A66"/>
    <w:rsid w:val="000E0927"/>
    <w:rsid w:val="000E54DF"/>
    <w:rsid w:val="000E6F46"/>
    <w:rsid w:val="000F02C3"/>
    <w:rsid w:val="00103609"/>
    <w:rsid w:val="001067DE"/>
    <w:rsid w:val="00113584"/>
    <w:rsid w:val="001151E8"/>
    <w:rsid w:val="00117327"/>
    <w:rsid w:val="00122EA7"/>
    <w:rsid w:val="0012481C"/>
    <w:rsid w:val="00126984"/>
    <w:rsid w:val="00126BE6"/>
    <w:rsid w:val="00127681"/>
    <w:rsid w:val="00127E4B"/>
    <w:rsid w:val="00130CEA"/>
    <w:rsid w:val="001319AB"/>
    <w:rsid w:val="001319B7"/>
    <w:rsid w:val="00132ECD"/>
    <w:rsid w:val="001376D7"/>
    <w:rsid w:val="0014067A"/>
    <w:rsid w:val="00142EED"/>
    <w:rsid w:val="001470AD"/>
    <w:rsid w:val="00150803"/>
    <w:rsid w:val="00150C9E"/>
    <w:rsid w:val="00151414"/>
    <w:rsid w:val="001572F8"/>
    <w:rsid w:val="001601A9"/>
    <w:rsid w:val="00161FAA"/>
    <w:rsid w:val="00162A98"/>
    <w:rsid w:val="00163007"/>
    <w:rsid w:val="001721F6"/>
    <w:rsid w:val="00176404"/>
    <w:rsid w:val="00177F35"/>
    <w:rsid w:val="00184241"/>
    <w:rsid w:val="00185C2B"/>
    <w:rsid w:val="00190E95"/>
    <w:rsid w:val="00191004"/>
    <w:rsid w:val="001911FC"/>
    <w:rsid w:val="00191C2C"/>
    <w:rsid w:val="001935E7"/>
    <w:rsid w:val="00196CD1"/>
    <w:rsid w:val="001A1503"/>
    <w:rsid w:val="001A6FC9"/>
    <w:rsid w:val="001A78F7"/>
    <w:rsid w:val="001B1B24"/>
    <w:rsid w:val="001B23FE"/>
    <w:rsid w:val="001B5BAA"/>
    <w:rsid w:val="001B6C94"/>
    <w:rsid w:val="001C29D9"/>
    <w:rsid w:val="001C55BE"/>
    <w:rsid w:val="001C648B"/>
    <w:rsid w:val="001C680A"/>
    <w:rsid w:val="001D1142"/>
    <w:rsid w:val="001D3360"/>
    <w:rsid w:val="001D70F9"/>
    <w:rsid w:val="001E0296"/>
    <w:rsid w:val="001E2A81"/>
    <w:rsid w:val="001E3EEB"/>
    <w:rsid w:val="001E6251"/>
    <w:rsid w:val="001F0CE1"/>
    <w:rsid w:val="001F3818"/>
    <w:rsid w:val="00200935"/>
    <w:rsid w:val="0020132E"/>
    <w:rsid w:val="002014BA"/>
    <w:rsid w:val="00202C7B"/>
    <w:rsid w:val="0020649D"/>
    <w:rsid w:val="0020669C"/>
    <w:rsid w:val="002174CA"/>
    <w:rsid w:val="002177A7"/>
    <w:rsid w:val="00217D2C"/>
    <w:rsid w:val="00217E18"/>
    <w:rsid w:val="002300C6"/>
    <w:rsid w:val="00230764"/>
    <w:rsid w:val="00231723"/>
    <w:rsid w:val="002336F5"/>
    <w:rsid w:val="00233796"/>
    <w:rsid w:val="00233A9F"/>
    <w:rsid w:val="00235A04"/>
    <w:rsid w:val="00237F7C"/>
    <w:rsid w:val="00244C57"/>
    <w:rsid w:val="00246021"/>
    <w:rsid w:val="00247F22"/>
    <w:rsid w:val="002509DA"/>
    <w:rsid w:val="00250D47"/>
    <w:rsid w:val="0025203F"/>
    <w:rsid w:val="0025702C"/>
    <w:rsid w:val="002611A3"/>
    <w:rsid w:val="00262C6E"/>
    <w:rsid w:val="00262F45"/>
    <w:rsid w:val="002643B8"/>
    <w:rsid w:val="00266782"/>
    <w:rsid w:val="00270E1B"/>
    <w:rsid w:val="00271473"/>
    <w:rsid w:val="00273A9C"/>
    <w:rsid w:val="0027721C"/>
    <w:rsid w:val="00282534"/>
    <w:rsid w:val="00283AD3"/>
    <w:rsid w:val="00283DCF"/>
    <w:rsid w:val="00283F3F"/>
    <w:rsid w:val="00284E91"/>
    <w:rsid w:val="00285118"/>
    <w:rsid w:val="00285B86"/>
    <w:rsid w:val="002864DB"/>
    <w:rsid w:val="00286604"/>
    <w:rsid w:val="00287557"/>
    <w:rsid w:val="00294C24"/>
    <w:rsid w:val="002961B2"/>
    <w:rsid w:val="002A430F"/>
    <w:rsid w:val="002A651B"/>
    <w:rsid w:val="002A739F"/>
    <w:rsid w:val="002B46EF"/>
    <w:rsid w:val="002C42E7"/>
    <w:rsid w:val="002C47FE"/>
    <w:rsid w:val="002C4BA7"/>
    <w:rsid w:val="002C6470"/>
    <w:rsid w:val="002E0244"/>
    <w:rsid w:val="002E15F1"/>
    <w:rsid w:val="002E2681"/>
    <w:rsid w:val="002E62E4"/>
    <w:rsid w:val="002E7CC7"/>
    <w:rsid w:val="002F23AD"/>
    <w:rsid w:val="002F4084"/>
    <w:rsid w:val="00301870"/>
    <w:rsid w:val="00305FE0"/>
    <w:rsid w:val="003067FE"/>
    <w:rsid w:val="003074E1"/>
    <w:rsid w:val="00310A87"/>
    <w:rsid w:val="00311A92"/>
    <w:rsid w:val="003130D4"/>
    <w:rsid w:val="00322225"/>
    <w:rsid w:val="003223B8"/>
    <w:rsid w:val="003229C8"/>
    <w:rsid w:val="003239AD"/>
    <w:rsid w:val="00334CB7"/>
    <w:rsid w:val="00334E6F"/>
    <w:rsid w:val="003372C1"/>
    <w:rsid w:val="00343313"/>
    <w:rsid w:val="00346607"/>
    <w:rsid w:val="00347CA6"/>
    <w:rsid w:val="003514CE"/>
    <w:rsid w:val="00352215"/>
    <w:rsid w:val="0035327F"/>
    <w:rsid w:val="00354E73"/>
    <w:rsid w:val="00355239"/>
    <w:rsid w:val="00360DF0"/>
    <w:rsid w:val="00362FD6"/>
    <w:rsid w:val="003653DF"/>
    <w:rsid w:val="003658DB"/>
    <w:rsid w:val="00366BA8"/>
    <w:rsid w:val="003671D0"/>
    <w:rsid w:val="00372F08"/>
    <w:rsid w:val="0037784B"/>
    <w:rsid w:val="0038122A"/>
    <w:rsid w:val="00383916"/>
    <w:rsid w:val="00383DB3"/>
    <w:rsid w:val="00384B4B"/>
    <w:rsid w:val="0038750F"/>
    <w:rsid w:val="00393F21"/>
    <w:rsid w:val="00396523"/>
    <w:rsid w:val="003A0811"/>
    <w:rsid w:val="003A0F76"/>
    <w:rsid w:val="003A3D5F"/>
    <w:rsid w:val="003A72C5"/>
    <w:rsid w:val="003A7669"/>
    <w:rsid w:val="003B1332"/>
    <w:rsid w:val="003B14D7"/>
    <w:rsid w:val="003B1B26"/>
    <w:rsid w:val="003B5DB4"/>
    <w:rsid w:val="003B5E69"/>
    <w:rsid w:val="003C2BA9"/>
    <w:rsid w:val="003C46AA"/>
    <w:rsid w:val="003C4FDB"/>
    <w:rsid w:val="003D096D"/>
    <w:rsid w:val="003D108B"/>
    <w:rsid w:val="003D15C1"/>
    <w:rsid w:val="003D1F61"/>
    <w:rsid w:val="003D4E63"/>
    <w:rsid w:val="003D5B21"/>
    <w:rsid w:val="003E0559"/>
    <w:rsid w:val="003E1A8F"/>
    <w:rsid w:val="003E6C2B"/>
    <w:rsid w:val="003F038F"/>
    <w:rsid w:val="003F04CA"/>
    <w:rsid w:val="003F1DA7"/>
    <w:rsid w:val="003F39B5"/>
    <w:rsid w:val="003F438B"/>
    <w:rsid w:val="003F49ED"/>
    <w:rsid w:val="003F51EC"/>
    <w:rsid w:val="003F5EEE"/>
    <w:rsid w:val="003F7098"/>
    <w:rsid w:val="00402C56"/>
    <w:rsid w:val="004060FA"/>
    <w:rsid w:val="00411D55"/>
    <w:rsid w:val="004125FA"/>
    <w:rsid w:val="00412C70"/>
    <w:rsid w:val="0041390E"/>
    <w:rsid w:val="004233F4"/>
    <w:rsid w:val="0042420E"/>
    <w:rsid w:val="00426942"/>
    <w:rsid w:val="00426AB3"/>
    <w:rsid w:val="00431125"/>
    <w:rsid w:val="00431944"/>
    <w:rsid w:val="00434517"/>
    <w:rsid w:val="004362C7"/>
    <w:rsid w:val="00440215"/>
    <w:rsid w:val="00440EB3"/>
    <w:rsid w:val="00443906"/>
    <w:rsid w:val="00444A25"/>
    <w:rsid w:val="004457A0"/>
    <w:rsid w:val="00445B7B"/>
    <w:rsid w:val="0044643C"/>
    <w:rsid w:val="00447F3A"/>
    <w:rsid w:val="00453215"/>
    <w:rsid w:val="00456756"/>
    <w:rsid w:val="00456836"/>
    <w:rsid w:val="00457FBE"/>
    <w:rsid w:val="0046026C"/>
    <w:rsid w:val="00461F19"/>
    <w:rsid w:val="00464F3D"/>
    <w:rsid w:val="00466AB2"/>
    <w:rsid w:val="00467D9A"/>
    <w:rsid w:val="0047055E"/>
    <w:rsid w:val="00471C37"/>
    <w:rsid w:val="00471EC5"/>
    <w:rsid w:val="0047247C"/>
    <w:rsid w:val="004730E9"/>
    <w:rsid w:val="00473466"/>
    <w:rsid w:val="00473501"/>
    <w:rsid w:val="00474E2E"/>
    <w:rsid w:val="00474F20"/>
    <w:rsid w:val="0048083B"/>
    <w:rsid w:val="00481BD2"/>
    <w:rsid w:val="00483A1C"/>
    <w:rsid w:val="004846FF"/>
    <w:rsid w:val="00484CBA"/>
    <w:rsid w:val="00486091"/>
    <w:rsid w:val="00490531"/>
    <w:rsid w:val="0049527E"/>
    <w:rsid w:val="0049743E"/>
    <w:rsid w:val="004977FB"/>
    <w:rsid w:val="004A2020"/>
    <w:rsid w:val="004A2BC3"/>
    <w:rsid w:val="004A30CB"/>
    <w:rsid w:val="004A605A"/>
    <w:rsid w:val="004A7514"/>
    <w:rsid w:val="004B1023"/>
    <w:rsid w:val="004C1526"/>
    <w:rsid w:val="004C4613"/>
    <w:rsid w:val="004C5623"/>
    <w:rsid w:val="004D62BD"/>
    <w:rsid w:val="004D741D"/>
    <w:rsid w:val="004E0BE7"/>
    <w:rsid w:val="004E3A07"/>
    <w:rsid w:val="004E3AF3"/>
    <w:rsid w:val="004E5AC2"/>
    <w:rsid w:val="004F0FE1"/>
    <w:rsid w:val="004F4425"/>
    <w:rsid w:val="004F44C7"/>
    <w:rsid w:val="004F4A48"/>
    <w:rsid w:val="004F6DFB"/>
    <w:rsid w:val="00501135"/>
    <w:rsid w:val="00502392"/>
    <w:rsid w:val="00503AD8"/>
    <w:rsid w:val="00507D9D"/>
    <w:rsid w:val="00512DAE"/>
    <w:rsid w:val="00521D84"/>
    <w:rsid w:val="00527F14"/>
    <w:rsid w:val="00537789"/>
    <w:rsid w:val="0053799E"/>
    <w:rsid w:val="005475C5"/>
    <w:rsid w:val="00557A21"/>
    <w:rsid w:val="005638B0"/>
    <w:rsid w:val="005638CE"/>
    <w:rsid w:val="00564AB3"/>
    <w:rsid w:val="00564BE3"/>
    <w:rsid w:val="00564E83"/>
    <w:rsid w:val="005712E4"/>
    <w:rsid w:val="005718AB"/>
    <w:rsid w:val="00571A99"/>
    <w:rsid w:val="00574FCF"/>
    <w:rsid w:val="00580121"/>
    <w:rsid w:val="00581C35"/>
    <w:rsid w:val="00584A0B"/>
    <w:rsid w:val="00584CD0"/>
    <w:rsid w:val="005855D2"/>
    <w:rsid w:val="0058696E"/>
    <w:rsid w:val="00590A2E"/>
    <w:rsid w:val="00597720"/>
    <w:rsid w:val="005A05E5"/>
    <w:rsid w:val="005A1D2C"/>
    <w:rsid w:val="005A67A8"/>
    <w:rsid w:val="005B14C0"/>
    <w:rsid w:val="005B4BCF"/>
    <w:rsid w:val="005B509D"/>
    <w:rsid w:val="005B6E2E"/>
    <w:rsid w:val="005B6EEF"/>
    <w:rsid w:val="005B7501"/>
    <w:rsid w:val="005C03F7"/>
    <w:rsid w:val="005C1208"/>
    <w:rsid w:val="005C2398"/>
    <w:rsid w:val="005C2738"/>
    <w:rsid w:val="005D096B"/>
    <w:rsid w:val="005D0EC8"/>
    <w:rsid w:val="005D761B"/>
    <w:rsid w:val="005E0240"/>
    <w:rsid w:val="005E02AC"/>
    <w:rsid w:val="005E193E"/>
    <w:rsid w:val="005E51D2"/>
    <w:rsid w:val="005E68AB"/>
    <w:rsid w:val="005F0B76"/>
    <w:rsid w:val="005F7B5E"/>
    <w:rsid w:val="0060382C"/>
    <w:rsid w:val="00603B97"/>
    <w:rsid w:val="00604237"/>
    <w:rsid w:val="0060423C"/>
    <w:rsid w:val="006103E2"/>
    <w:rsid w:val="00615532"/>
    <w:rsid w:val="00617344"/>
    <w:rsid w:val="00620E77"/>
    <w:rsid w:val="00621F97"/>
    <w:rsid w:val="00622EE6"/>
    <w:rsid w:val="0062352A"/>
    <w:rsid w:val="00623C30"/>
    <w:rsid w:val="00624F2D"/>
    <w:rsid w:val="006264D8"/>
    <w:rsid w:val="00631729"/>
    <w:rsid w:val="00631954"/>
    <w:rsid w:val="00633C59"/>
    <w:rsid w:val="00636346"/>
    <w:rsid w:val="006367F1"/>
    <w:rsid w:val="00636E58"/>
    <w:rsid w:val="00643CD9"/>
    <w:rsid w:val="00644676"/>
    <w:rsid w:val="00644721"/>
    <w:rsid w:val="0064585D"/>
    <w:rsid w:val="006463C3"/>
    <w:rsid w:val="00651202"/>
    <w:rsid w:val="006530AB"/>
    <w:rsid w:val="006578B2"/>
    <w:rsid w:val="00665891"/>
    <w:rsid w:val="00667AF9"/>
    <w:rsid w:val="0067411A"/>
    <w:rsid w:val="0067651F"/>
    <w:rsid w:val="00677989"/>
    <w:rsid w:val="00681395"/>
    <w:rsid w:val="00681E22"/>
    <w:rsid w:val="00682BF4"/>
    <w:rsid w:val="00690611"/>
    <w:rsid w:val="00692475"/>
    <w:rsid w:val="00695695"/>
    <w:rsid w:val="00696AF3"/>
    <w:rsid w:val="006A26A4"/>
    <w:rsid w:val="006A2835"/>
    <w:rsid w:val="006A3B91"/>
    <w:rsid w:val="006A44B4"/>
    <w:rsid w:val="006A4516"/>
    <w:rsid w:val="006A461D"/>
    <w:rsid w:val="006A46A8"/>
    <w:rsid w:val="006A4FF6"/>
    <w:rsid w:val="006A693D"/>
    <w:rsid w:val="006B32BE"/>
    <w:rsid w:val="006B5D31"/>
    <w:rsid w:val="006B660C"/>
    <w:rsid w:val="006B7FCB"/>
    <w:rsid w:val="006C111D"/>
    <w:rsid w:val="006C2A11"/>
    <w:rsid w:val="006C450E"/>
    <w:rsid w:val="006C5BD3"/>
    <w:rsid w:val="006C6AE0"/>
    <w:rsid w:val="006C7ADE"/>
    <w:rsid w:val="006D20AA"/>
    <w:rsid w:val="006D2C9F"/>
    <w:rsid w:val="006D62C8"/>
    <w:rsid w:val="006E010F"/>
    <w:rsid w:val="006E4929"/>
    <w:rsid w:val="006E5336"/>
    <w:rsid w:val="006E696F"/>
    <w:rsid w:val="006F4E0D"/>
    <w:rsid w:val="006F6F4F"/>
    <w:rsid w:val="006F751B"/>
    <w:rsid w:val="00700722"/>
    <w:rsid w:val="00700DAB"/>
    <w:rsid w:val="00701A28"/>
    <w:rsid w:val="0070327B"/>
    <w:rsid w:val="00706564"/>
    <w:rsid w:val="007075BD"/>
    <w:rsid w:val="0071460E"/>
    <w:rsid w:val="007159BF"/>
    <w:rsid w:val="00716280"/>
    <w:rsid w:val="00717D1B"/>
    <w:rsid w:val="00720C67"/>
    <w:rsid w:val="00725813"/>
    <w:rsid w:val="0072633B"/>
    <w:rsid w:val="00727D83"/>
    <w:rsid w:val="00730690"/>
    <w:rsid w:val="0073451F"/>
    <w:rsid w:val="00735F8C"/>
    <w:rsid w:val="00737A22"/>
    <w:rsid w:val="00742A99"/>
    <w:rsid w:val="007433DE"/>
    <w:rsid w:val="007466BD"/>
    <w:rsid w:val="00750AE1"/>
    <w:rsid w:val="00753A0C"/>
    <w:rsid w:val="00754A34"/>
    <w:rsid w:val="007557B1"/>
    <w:rsid w:val="00760B9C"/>
    <w:rsid w:val="0076199F"/>
    <w:rsid w:val="007636DD"/>
    <w:rsid w:val="0076587A"/>
    <w:rsid w:val="00765DC7"/>
    <w:rsid w:val="00770277"/>
    <w:rsid w:val="00774F9B"/>
    <w:rsid w:val="00780B2E"/>
    <w:rsid w:val="00780BC8"/>
    <w:rsid w:val="00782AA5"/>
    <w:rsid w:val="00783A8D"/>
    <w:rsid w:val="00783DB1"/>
    <w:rsid w:val="00785291"/>
    <w:rsid w:val="007874C7"/>
    <w:rsid w:val="0079087F"/>
    <w:rsid w:val="007920D8"/>
    <w:rsid w:val="007941F6"/>
    <w:rsid w:val="00794CAE"/>
    <w:rsid w:val="0079764C"/>
    <w:rsid w:val="007A1277"/>
    <w:rsid w:val="007A375D"/>
    <w:rsid w:val="007A4B64"/>
    <w:rsid w:val="007B245C"/>
    <w:rsid w:val="007B2B30"/>
    <w:rsid w:val="007B42A3"/>
    <w:rsid w:val="007B478F"/>
    <w:rsid w:val="007B4D38"/>
    <w:rsid w:val="007B72F3"/>
    <w:rsid w:val="007B7E29"/>
    <w:rsid w:val="007C1580"/>
    <w:rsid w:val="007C3E4A"/>
    <w:rsid w:val="007C3F1B"/>
    <w:rsid w:val="007C4631"/>
    <w:rsid w:val="007C64E7"/>
    <w:rsid w:val="007C7C65"/>
    <w:rsid w:val="007D41E9"/>
    <w:rsid w:val="007D441B"/>
    <w:rsid w:val="007D4701"/>
    <w:rsid w:val="007D6CAC"/>
    <w:rsid w:val="007D7A3C"/>
    <w:rsid w:val="007E590D"/>
    <w:rsid w:val="007E693D"/>
    <w:rsid w:val="007E7179"/>
    <w:rsid w:val="007F0BF6"/>
    <w:rsid w:val="007F1C56"/>
    <w:rsid w:val="007F2B95"/>
    <w:rsid w:val="007F48E2"/>
    <w:rsid w:val="007F669C"/>
    <w:rsid w:val="00801B33"/>
    <w:rsid w:val="00802816"/>
    <w:rsid w:val="0080362B"/>
    <w:rsid w:val="00805AD4"/>
    <w:rsid w:val="00812714"/>
    <w:rsid w:val="00812CEF"/>
    <w:rsid w:val="00823D0F"/>
    <w:rsid w:val="00824807"/>
    <w:rsid w:val="0082595D"/>
    <w:rsid w:val="008338C5"/>
    <w:rsid w:val="008358E8"/>
    <w:rsid w:val="00836559"/>
    <w:rsid w:val="00840EE8"/>
    <w:rsid w:val="00842142"/>
    <w:rsid w:val="00846E2C"/>
    <w:rsid w:val="00847092"/>
    <w:rsid w:val="008523C2"/>
    <w:rsid w:val="00853BBD"/>
    <w:rsid w:val="00853C82"/>
    <w:rsid w:val="00853D21"/>
    <w:rsid w:val="0085500E"/>
    <w:rsid w:val="00857873"/>
    <w:rsid w:val="0086247B"/>
    <w:rsid w:val="008627E1"/>
    <w:rsid w:val="00862B26"/>
    <w:rsid w:val="00865E48"/>
    <w:rsid w:val="008661D1"/>
    <w:rsid w:val="0086637B"/>
    <w:rsid w:val="00877252"/>
    <w:rsid w:val="008775B7"/>
    <w:rsid w:val="008827C4"/>
    <w:rsid w:val="00882C47"/>
    <w:rsid w:val="00883547"/>
    <w:rsid w:val="0088618D"/>
    <w:rsid w:val="00886725"/>
    <w:rsid w:val="00887ACD"/>
    <w:rsid w:val="008913BB"/>
    <w:rsid w:val="008925B8"/>
    <w:rsid w:val="00893CE5"/>
    <w:rsid w:val="00894473"/>
    <w:rsid w:val="008A2167"/>
    <w:rsid w:val="008A4C1D"/>
    <w:rsid w:val="008A4FC6"/>
    <w:rsid w:val="008A511A"/>
    <w:rsid w:val="008A5B5F"/>
    <w:rsid w:val="008A5EED"/>
    <w:rsid w:val="008A647F"/>
    <w:rsid w:val="008B0AF2"/>
    <w:rsid w:val="008B1181"/>
    <w:rsid w:val="008B4F57"/>
    <w:rsid w:val="008B7B66"/>
    <w:rsid w:val="008C568D"/>
    <w:rsid w:val="008C7A1B"/>
    <w:rsid w:val="008D1430"/>
    <w:rsid w:val="008D3278"/>
    <w:rsid w:val="008D5F9F"/>
    <w:rsid w:val="008E1185"/>
    <w:rsid w:val="008E19D0"/>
    <w:rsid w:val="008E4269"/>
    <w:rsid w:val="008E48CD"/>
    <w:rsid w:val="008E6B7C"/>
    <w:rsid w:val="008F0A10"/>
    <w:rsid w:val="008F0D69"/>
    <w:rsid w:val="008F0F19"/>
    <w:rsid w:val="008F1227"/>
    <w:rsid w:val="008F1B11"/>
    <w:rsid w:val="008F58C0"/>
    <w:rsid w:val="008F61B5"/>
    <w:rsid w:val="008F640B"/>
    <w:rsid w:val="0090024D"/>
    <w:rsid w:val="009003D4"/>
    <w:rsid w:val="00902F36"/>
    <w:rsid w:val="00907CF1"/>
    <w:rsid w:val="009103A0"/>
    <w:rsid w:val="00911C02"/>
    <w:rsid w:val="00912E55"/>
    <w:rsid w:val="00913E0E"/>
    <w:rsid w:val="009150C0"/>
    <w:rsid w:val="0091546F"/>
    <w:rsid w:val="0092425F"/>
    <w:rsid w:val="00925C5E"/>
    <w:rsid w:val="00930998"/>
    <w:rsid w:val="00930A6E"/>
    <w:rsid w:val="00930F01"/>
    <w:rsid w:val="0093323E"/>
    <w:rsid w:val="0093501E"/>
    <w:rsid w:val="009359C6"/>
    <w:rsid w:val="00935E19"/>
    <w:rsid w:val="00937DD6"/>
    <w:rsid w:val="00943226"/>
    <w:rsid w:val="00951CEE"/>
    <w:rsid w:val="009526DB"/>
    <w:rsid w:val="00953995"/>
    <w:rsid w:val="00954330"/>
    <w:rsid w:val="00954912"/>
    <w:rsid w:val="00955460"/>
    <w:rsid w:val="00956E82"/>
    <w:rsid w:val="00957CAA"/>
    <w:rsid w:val="00960544"/>
    <w:rsid w:val="00963B04"/>
    <w:rsid w:val="00963F87"/>
    <w:rsid w:val="00967136"/>
    <w:rsid w:val="00977833"/>
    <w:rsid w:val="009813D8"/>
    <w:rsid w:val="009854DD"/>
    <w:rsid w:val="00986999"/>
    <w:rsid w:val="009872F4"/>
    <w:rsid w:val="00990B17"/>
    <w:rsid w:val="00992098"/>
    <w:rsid w:val="009928CD"/>
    <w:rsid w:val="00994162"/>
    <w:rsid w:val="00996D50"/>
    <w:rsid w:val="009A0794"/>
    <w:rsid w:val="009A0800"/>
    <w:rsid w:val="009A6292"/>
    <w:rsid w:val="009A6294"/>
    <w:rsid w:val="009A6766"/>
    <w:rsid w:val="009A7256"/>
    <w:rsid w:val="009B012E"/>
    <w:rsid w:val="009B0B0E"/>
    <w:rsid w:val="009B16D0"/>
    <w:rsid w:val="009B194B"/>
    <w:rsid w:val="009B5531"/>
    <w:rsid w:val="009B6162"/>
    <w:rsid w:val="009B630D"/>
    <w:rsid w:val="009B72BD"/>
    <w:rsid w:val="009C3A7D"/>
    <w:rsid w:val="009C4E77"/>
    <w:rsid w:val="009D0180"/>
    <w:rsid w:val="009D35E5"/>
    <w:rsid w:val="009D3625"/>
    <w:rsid w:val="009D6978"/>
    <w:rsid w:val="009D74AC"/>
    <w:rsid w:val="009E0F15"/>
    <w:rsid w:val="009E37EC"/>
    <w:rsid w:val="009E394B"/>
    <w:rsid w:val="009E44B0"/>
    <w:rsid w:val="009E51A7"/>
    <w:rsid w:val="009F0183"/>
    <w:rsid w:val="009F0FAD"/>
    <w:rsid w:val="009F6311"/>
    <w:rsid w:val="009F6CEF"/>
    <w:rsid w:val="009F6EC1"/>
    <w:rsid w:val="00A009DA"/>
    <w:rsid w:val="00A0145D"/>
    <w:rsid w:val="00A03CB8"/>
    <w:rsid w:val="00A057B8"/>
    <w:rsid w:val="00A06B0B"/>
    <w:rsid w:val="00A1281F"/>
    <w:rsid w:val="00A129B6"/>
    <w:rsid w:val="00A25532"/>
    <w:rsid w:val="00A33D98"/>
    <w:rsid w:val="00A3651D"/>
    <w:rsid w:val="00A36E34"/>
    <w:rsid w:val="00A42961"/>
    <w:rsid w:val="00A47597"/>
    <w:rsid w:val="00A503BD"/>
    <w:rsid w:val="00A512B0"/>
    <w:rsid w:val="00A54DD0"/>
    <w:rsid w:val="00A57FBC"/>
    <w:rsid w:val="00A62402"/>
    <w:rsid w:val="00A647C0"/>
    <w:rsid w:val="00A65E53"/>
    <w:rsid w:val="00A665B7"/>
    <w:rsid w:val="00A66661"/>
    <w:rsid w:val="00A6781F"/>
    <w:rsid w:val="00A70872"/>
    <w:rsid w:val="00A72A5B"/>
    <w:rsid w:val="00A8073C"/>
    <w:rsid w:val="00A8115C"/>
    <w:rsid w:val="00A81F97"/>
    <w:rsid w:val="00A831A0"/>
    <w:rsid w:val="00A86F53"/>
    <w:rsid w:val="00A943B3"/>
    <w:rsid w:val="00A946D4"/>
    <w:rsid w:val="00AA0AAF"/>
    <w:rsid w:val="00AA22F9"/>
    <w:rsid w:val="00AA3AC6"/>
    <w:rsid w:val="00AA5091"/>
    <w:rsid w:val="00AA6F9E"/>
    <w:rsid w:val="00AB1634"/>
    <w:rsid w:val="00AB2475"/>
    <w:rsid w:val="00AB2612"/>
    <w:rsid w:val="00AB4E41"/>
    <w:rsid w:val="00AB4F5D"/>
    <w:rsid w:val="00AB6295"/>
    <w:rsid w:val="00AB7D2F"/>
    <w:rsid w:val="00AC0A60"/>
    <w:rsid w:val="00AC35E5"/>
    <w:rsid w:val="00AD0686"/>
    <w:rsid w:val="00AD4C62"/>
    <w:rsid w:val="00AD78B9"/>
    <w:rsid w:val="00AD78CE"/>
    <w:rsid w:val="00AE2347"/>
    <w:rsid w:val="00AF13F8"/>
    <w:rsid w:val="00AF1555"/>
    <w:rsid w:val="00AF36C8"/>
    <w:rsid w:val="00AF3F64"/>
    <w:rsid w:val="00AF780A"/>
    <w:rsid w:val="00AF7B13"/>
    <w:rsid w:val="00B0049E"/>
    <w:rsid w:val="00B01B81"/>
    <w:rsid w:val="00B06C16"/>
    <w:rsid w:val="00B12E9C"/>
    <w:rsid w:val="00B13580"/>
    <w:rsid w:val="00B15D74"/>
    <w:rsid w:val="00B15DB4"/>
    <w:rsid w:val="00B16A82"/>
    <w:rsid w:val="00B171DB"/>
    <w:rsid w:val="00B221DA"/>
    <w:rsid w:val="00B231F4"/>
    <w:rsid w:val="00B320CD"/>
    <w:rsid w:val="00B35AA7"/>
    <w:rsid w:val="00B40A00"/>
    <w:rsid w:val="00B43879"/>
    <w:rsid w:val="00B532EB"/>
    <w:rsid w:val="00B543F4"/>
    <w:rsid w:val="00B55767"/>
    <w:rsid w:val="00B61F2C"/>
    <w:rsid w:val="00B6228D"/>
    <w:rsid w:val="00B6285D"/>
    <w:rsid w:val="00B63E7F"/>
    <w:rsid w:val="00B64247"/>
    <w:rsid w:val="00B644D3"/>
    <w:rsid w:val="00B64C5A"/>
    <w:rsid w:val="00B7329F"/>
    <w:rsid w:val="00B7517E"/>
    <w:rsid w:val="00B80D63"/>
    <w:rsid w:val="00B8282E"/>
    <w:rsid w:val="00B85C0E"/>
    <w:rsid w:val="00B868C5"/>
    <w:rsid w:val="00B910AA"/>
    <w:rsid w:val="00B91523"/>
    <w:rsid w:val="00B91788"/>
    <w:rsid w:val="00B91AF7"/>
    <w:rsid w:val="00B93319"/>
    <w:rsid w:val="00B95242"/>
    <w:rsid w:val="00B95B82"/>
    <w:rsid w:val="00B97C1A"/>
    <w:rsid w:val="00BA18D6"/>
    <w:rsid w:val="00BA3C54"/>
    <w:rsid w:val="00BA686A"/>
    <w:rsid w:val="00BB08D9"/>
    <w:rsid w:val="00BB2D3F"/>
    <w:rsid w:val="00BB320F"/>
    <w:rsid w:val="00BB35EA"/>
    <w:rsid w:val="00BB4D03"/>
    <w:rsid w:val="00BB68B4"/>
    <w:rsid w:val="00BB7AD2"/>
    <w:rsid w:val="00BC2764"/>
    <w:rsid w:val="00BC3E79"/>
    <w:rsid w:val="00BC763A"/>
    <w:rsid w:val="00BD5817"/>
    <w:rsid w:val="00BD588D"/>
    <w:rsid w:val="00BE4262"/>
    <w:rsid w:val="00BE4A49"/>
    <w:rsid w:val="00BE4E0D"/>
    <w:rsid w:val="00BE6B1D"/>
    <w:rsid w:val="00BF0195"/>
    <w:rsid w:val="00BF2E54"/>
    <w:rsid w:val="00BF4473"/>
    <w:rsid w:val="00BF626B"/>
    <w:rsid w:val="00C02991"/>
    <w:rsid w:val="00C03BFC"/>
    <w:rsid w:val="00C0479A"/>
    <w:rsid w:val="00C04DB5"/>
    <w:rsid w:val="00C06704"/>
    <w:rsid w:val="00C12402"/>
    <w:rsid w:val="00C125F5"/>
    <w:rsid w:val="00C13361"/>
    <w:rsid w:val="00C16B32"/>
    <w:rsid w:val="00C17C56"/>
    <w:rsid w:val="00C20572"/>
    <w:rsid w:val="00C228BA"/>
    <w:rsid w:val="00C233F6"/>
    <w:rsid w:val="00C271CD"/>
    <w:rsid w:val="00C27283"/>
    <w:rsid w:val="00C2735F"/>
    <w:rsid w:val="00C3049B"/>
    <w:rsid w:val="00C33005"/>
    <w:rsid w:val="00C3371B"/>
    <w:rsid w:val="00C34444"/>
    <w:rsid w:val="00C34884"/>
    <w:rsid w:val="00C433F1"/>
    <w:rsid w:val="00C45B4E"/>
    <w:rsid w:val="00C46599"/>
    <w:rsid w:val="00C56042"/>
    <w:rsid w:val="00C57791"/>
    <w:rsid w:val="00C6179C"/>
    <w:rsid w:val="00C61AA7"/>
    <w:rsid w:val="00C64F6C"/>
    <w:rsid w:val="00C64F74"/>
    <w:rsid w:val="00C6635C"/>
    <w:rsid w:val="00C66D48"/>
    <w:rsid w:val="00C70DF4"/>
    <w:rsid w:val="00C76DA9"/>
    <w:rsid w:val="00C778A5"/>
    <w:rsid w:val="00C879A9"/>
    <w:rsid w:val="00C904B7"/>
    <w:rsid w:val="00C928F4"/>
    <w:rsid w:val="00C936FC"/>
    <w:rsid w:val="00C93C07"/>
    <w:rsid w:val="00C971F4"/>
    <w:rsid w:val="00C97989"/>
    <w:rsid w:val="00CA2090"/>
    <w:rsid w:val="00CA2D90"/>
    <w:rsid w:val="00CB537F"/>
    <w:rsid w:val="00CB5951"/>
    <w:rsid w:val="00CC1F81"/>
    <w:rsid w:val="00CC5462"/>
    <w:rsid w:val="00CC56AB"/>
    <w:rsid w:val="00CD0FFD"/>
    <w:rsid w:val="00CD1FB6"/>
    <w:rsid w:val="00CD6923"/>
    <w:rsid w:val="00CD7395"/>
    <w:rsid w:val="00CD7C77"/>
    <w:rsid w:val="00CD7C83"/>
    <w:rsid w:val="00CE0AB3"/>
    <w:rsid w:val="00CE153C"/>
    <w:rsid w:val="00CE3F90"/>
    <w:rsid w:val="00CF0789"/>
    <w:rsid w:val="00CF1A22"/>
    <w:rsid w:val="00CF1D5E"/>
    <w:rsid w:val="00D00814"/>
    <w:rsid w:val="00D00F9F"/>
    <w:rsid w:val="00D023C2"/>
    <w:rsid w:val="00D0317F"/>
    <w:rsid w:val="00D12F9C"/>
    <w:rsid w:val="00D15FAC"/>
    <w:rsid w:val="00D2259E"/>
    <w:rsid w:val="00D2324D"/>
    <w:rsid w:val="00D2360C"/>
    <w:rsid w:val="00D241A7"/>
    <w:rsid w:val="00D25476"/>
    <w:rsid w:val="00D30912"/>
    <w:rsid w:val="00D31A6A"/>
    <w:rsid w:val="00D32085"/>
    <w:rsid w:val="00D32A60"/>
    <w:rsid w:val="00D35FED"/>
    <w:rsid w:val="00D3684B"/>
    <w:rsid w:val="00D371F0"/>
    <w:rsid w:val="00D40B62"/>
    <w:rsid w:val="00D42B68"/>
    <w:rsid w:val="00D4411F"/>
    <w:rsid w:val="00D4502D"/>
    <w:rsid w:val="00D50109"/>
    <w:rsid w:val="00D509BB"/>
    <w:rsid w:val="00D51FB7"/>
    <w:rsid w:val="00D54A10"/>
    <w:rsid w:val="00D55D44"/>
    <w:rsid w:val="00D618C2"/>
    <w:rsid w:val="00D65869"/>
    <w:rsid w:val="00D65BBA"/>
    <w:rsid w:val="00D67DC3"/>
    <w:rsid w:val="00D74B29"/>
    <w:rsid w:val="00D7590A"/>
    <w:rsid w:val="00D75F06"/>
    <w:rsid w:val="00D7646A"/>
    <w:rsid w:val="00D76F10"/>
    <w:rsid w:val="00D77A4B"/>
    <w:rsid w:val="00D80F19"/>
    <w:rsid w:val="00D84C1A"/>
    <w:rsid w:val="00D8543C"/>
    <w:rsid w:val="00D874EE"/>
    <w:rsid w:val="00D916D0"/>
    <w:rsid w:val="00D941FF"/>
    <w:rsid w:val="00D953D9"/>
    <w:rsid w:val="00D9600A"/>
    <w:rsid w:val="00D971BA"/>
    <w:rsid w:val="00D97656"/>
    <w:rsid w:val="00DA2513"/>
    <w:rsid w:val="00DA4C2B"/>
    <w:rsid w:val="00DA6A39"/>
    <w:rsid w:val="00DB170C"/>
    <w:rsid w:val="00DB5364"/>
    <w:rsid w:val="00DB797B"/>
    <w:rsid w:val="00DB7D1C"/>
    <w:rsid w:val="00DC1289"/>
    <w:rsid w:val="00DC3BE7"/>
    <w:rsid w:val="00DC452A"/>
    <w:rsid w:val="00DC53D2"/>
    <w:rsid w:val="00DD0A67"/>
    <w:rsid w:val="00DD1326"/>
    <w:rsid w:val="00DD35C8"/>
    <w:rsid w:val="00DD402A"/>
    <w:rsid w:val="00DD45D6"/>
    <w:rsid w:val="00DD6193"/>
    <w:rsid w:val="00DD7960"/>
    <w:rsid w:val="00DE06F6"/>
    <w:rsid w:val="00DF06DA"/>
    <w:rsid w:val="00DF5048"/>
    <w:rsid w:val="00DF6769"/>
    <w:rsid w:val="00DF6826"/>
    <w:rsid w:val="00E0237E"/>
    <w:rsid w:val="00E07587"/>
    <w:rsid w:val="00E121CB"/>
    <w:rsid w:val="00E13343"/>
    <w:rsid w:val="00E15D7A"/>
    <w:rsid w:val="00E21825"/>
    <w:rsid w:val="00E26242"/>
    <w:rsid w:val="00E27896"/>
    <w:rsid w:val="00E31EEE"/>
    <w:rsid w:val="00E329B4"/>
    <w:rsid w:val="00E3418A"/>
    <w:rsid w:val="00E37845"/>
    <w:rsid w:val="00E400EB"/>
    <w:rsid w:val="00E40689"/>
    <w:rsid w:val="00E44357"/>
    <w:rsid w:val="00E50030"/>
    <w:rsid w:val="00E5287C"/>
    <w:rsid w:val="00E54ACC"/>
    <w:rsid w:val="00E57C38"/>
    <w:rsid w:val="00E605BE"/>
    <w:rsid w:val="00E66923"/>
    <w:rsid w:val="00E70F84"/>
    <w:rsid w:val="00E712C8"/>
    <w:rsid w:val="00E71F43"/>
    <w:rsid w:val="00E72ED7"/>
    <w:rsid w:val="00E73B46"/>
    <w:rsid w:val="00E76760"/>
    <w:rsid w:val="00E774D6"/>
    <w:rsid w:val="00E774EB"/>
    <w:rsid w:val="00E8005C"/>
    <w:rsid w:val="00E80DF2"/>
    <w:rsid w:val="00E80F74"/>
    <w:rsid w:val="00E833CE"/>
    <w:rsid w:val="00E83D58"/>
    <w:rsid w:val="00E91826"/>
    <w:rsid w:val="00E948A9"/>
    <w:rsid w:val="00EA4B50"/>
    <w:rsid w:val="00EA51AA"/>
    <w:rsid w:val="00EA5CE1"/>
    <w:rsid w:val="00EB1508"/>
    <w:rsid w:val="00EB26AD"/>
    <w:rsid w:val="00EB30BC"/>
    <w:rsid w:val="00EB7A94"/>
    <w:rsid w:val="00EB7D73"/>
    <w:rsid w:val="00EC0D9B"/>
    <w:rsid w:val="00EC33F2"/>
    <w:rsid w:val="00EC4323"/>
    <w:rsid w:val="00EC476A"/>
    <w:rsid w:val="00EC48A6"/>
    <w:rsid w:val="00EC4AF9"/>
    <w:rsid w:val="00EC5031"/>
    <w:rsid w:val="00ED0512"/>
    <w:rsid w:val="00ED65FE"/>
    <w:rsid w:val="00EE20F1"/>
    <w:rsid w:val="00EE2511"/>
    <w:rsid w:val="00EE2847"/>
    <w:rsid w:val="00EE386E"/>
    <w:rsid w:val="00EE4602"/>
    <w:rsid w:val="00EE5227"/>
    <w:rsid w:val="00EE5FD4"/>
    <w:rsid w:val="00EF079D"/>
    <w:rsid w:val="00EF0D35"/>
    <w:rsid w:val="00EF1C71"/>
    <w:rsid w:val="00EF291A"/>
    <w:rsid w:val="00EF403A"/>
    <w:rsid w:val="00EF549C"/>
    <w:rsid w:val="00EF5D13"/>
    <w:rsid w:val="00EF68DA"/>
    <w:rsid w:val="00F00001"/>
    <w:rsid w:val="00F01ABD"/>
    <w:rsid w:val="00F03F98"/>
    <w:rsid w:val="00F11396"/>
    <w:rsid w:val="00F12309"/>
    <w:rsid w:val="00F14C15"/>
    <w:rsid w:val="00F156D6"/>
    <w:rsid w:val="00F16F1E"/>
    <w:rsid w:val="00F23C88"/>
    <w:rsid w:val="00F318B8"/>
    <w:rsid w:val="00F34B32"/>
    <w:rsid w:val="00F37229"/>
    <w:rsid w:val="00F406AB"/>
    <w:rsid w:val="00F44026"/>
    <w:rsid w:val="00F515D6"/>
    <w:rsid w:val="00F56736"/>
    <w:rsid w:val="00F57D8F"/>
    <w:rsid w:val="00F6375B"/>
    <w:rsid w:val="00F6451F"/>
    <w:rsid w:val="00F6616C"/>
    <w:rsid w:val="00F66325"/>
    <w:rsid w:val="00F7064F"/>
    <w:rsid w:val="00F70D99"/>
    <w:rsid w:val="00F74CF5"/>
    <w:rsid w:val="00F7612B"/>
    <w:rsid w:val="00F76D99"/>
    <w:rsid w:val="00F812EA"/>
    <w:rsid w:val="00F86348"/>
    <w:rsid w:val="00F9169A"/>
    <w:rsid w:val="00FA0E24"/>
    <w:rsid w:val="00FA55C6"/>
    <w:rsid w:val="00FB162D"/>
    <w:rsid w:val="00FB6186"/>
    <w:rsid w:val="00FC1928"/>
    <w:rsid w:val="00FD0019"/>
    <w:rsid w:val="00FD4BD4"/>
    <w:rsid w:val="00FE3A49"/>
    <w:rsid w:val="00FE4A68"/>
    <w:rsid w:val="00FE4DBF"/>
    <w:rsid w:val="00FE5D9A"/>
    <w:rsid w:val="00FE6B88"/>
    <w:rsid w:val="00FE713A"/>
    <w:rsid w:val="00FF1E35"/>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32D2B"/>
  <w15:chartTrackingRefBased/>
  <w15:docId w15:val="{BCF43BD5-1393-49C7-B7ED-B45B1E3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C2C"/>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clear" w:pos="3005"/>
        <w:tab w:val="num" w:pos="1304"/>
        <w:tab w:val="left" w:pos="1701"/>
      </w:tabs>
      <w:ind w:left="1304"/>
      <w:jc w:val="both"/>
    </w:pPr>
    <w:rPr>
      <w:rFonts w:eastAsia="Times New Roman"/>
      <w:b/>
      <w:bCs/>
      <w:lang w:eastAsia="zh-CN"/>
    </w:rPr>
  </w:style>
  <w:style w:type="paragraph" w:customStyle="1" w:styleId="Observation">
    <w:name w:val="Observation"/>
    <w:basedOn w:val="Proposal"/>
    <w:qFormat/>
    <w:rsid w:val="001601A9"/>
    <w:pPr>
      <w:numPr>
        <w:numId w:val="3"/>
      </w:numPr>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qFormat/>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qFormat/>
    <w:rsid w:val="00E3418A"/>
    <w:pPr>
      <w:overflowPunct/>
      <w:autoSpaceDE/>
      <w:autoSpaceDN/>
      <w:adjustRightInd/>
      <w:spacing w:after="180"/>
      <w:jc w:val="center"/>
      <w:textAlignment w:val="auto"/>
    </w:pPr>
    <w:rPr>
      <w:rFonts w:ascii="Times New Roman" w:eastAsia="Times New Roman" w:hAnsi="Times New Roman"/>
      <w:color w:val="FF0000"/>
    </w:rPr>
  </w:style>
  <w:style w:type="character" w:styleId="UnresolvedMention">
    <w:name w:val="Unresolved Mention"/>
    <w:basedOn w:val="DefaultParagraphFont"/>
    <w:uiPriority w:val="99"/>
    <w:semiHidden/>
    <w:unhideWhenUsed/>
    <w:rsid w:val="00C125F5"/>
    <w:rPr>
      <w:color w:val="605E5C"/>
      <w:shd w:val="clear" w:color="auto" w:fill="E1DFDD"/>
    </w:rPr>
  </w:style>
  <w:style w:type="character" w:customStyle="1" w:styleId="ui-provider">
    <w:name w:val="ui-provider"/>
    <w:basedOn w:val="DefaultParagraphFont"/>
    <w:rsid w:val="009D0180"/>
  </w:style>
  <w:style w:type="paragraph" w:customStyle="1" w:styleId="paragraph">
    <w:name w:val="paragraph"/>
    <w:basedOn w:val="Normal"/>
    <w:rsid w:val="0041390E"/>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rPr>
  </w:style>
  <w:style w:type="character" w:customStyle="1" w:styleId="eop">
    <w:name w:val="eop"/>
    <w:basedOn w:val="DefaultParagraphFont"/>
    <w:rsid w:val="0041390E"/>
  </w:style>
  <w:style w:type="character" w:customStyle="1" w:styleId="contextualspellingandgrammarerror">
    <w:name w:val="contextualspellingandgrammarerror"/>
    <w:basedOn w:val="DefaultParagraphFont"/>
    <w:rsid w:val="0041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305">
      <w:bodyDiv w:val="1"/>
      <w:marLeft w:val="0"/>
      <w:marRight w:val="0"/>
      <w:marTop w:val="0"/>
      <w:marBottom w:val="0"/>
      <w:divBdr>
        <w:top w:val="none" w:sz="0" w:space="0" w:color="auto"/>
        <w:left w:val="none" w:sz="0" w:space="0" w:color="auto"/>
        <w:bottom w:val="none" w:sz="0" w:space="0" w:color="auto"/>
        <w:right w:val="none" w:sz="0" w:space="0" w:color="auto"/>
      </w:divBdr>
      <w:divsChild>
        <w:div w:id="1862473267">
          <w:marLeft w:val="1800"/>
          <w:marRight w:val="0"/>
          <w:marTop w:val="0"/>
          <w:marBottom w:val="60"/>
          <w:divBdr>
            <w:top w:val="none" w:sz="0" w:space="0" w:color="auto"/>
            <w:left w:val="none" w:sz="0" w:space="0" w:color="auto"/>
            <w:bottom w:val="none" w:sz="0" w:space="0" w:color="auto"/>
            <w:right w:val="none" w:sz="0" w:space="0" w:color="auto"/>
          </w:divBdr>
        </w:div>
        <w:div w:id="132260386">
          <w:marLeft w:val="1800"/>
          <w:marRight w:val="0"/>
          <w:marTop w:val="0"/>
          <w:marBottom w:val="60"/>
          <w:divBdr>
            <w:top w:val="none" w:sz="0" w:space="0" w:color="auto"/>
            <w:left w:val="none" w:sz="0" w:space="0" w:color="auto"/>
            <w:bottom w:val="none" w:sz="0" w:space="0" w:color="auto"/>
            <w:right w:val="none" w:sz="0" w:space="0" w:color="auto"/>
          </w:divBdr>
        </w:div>
      </w:divsChild>
    </w:div>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01003440">
      <w:bodyDiv w:val="1"/>
      <w:marLeft w:val="0"/>
      <w:marRight w:val="0"/>
      <w:marTop w:val="0"/>
      <w:marBottom w:val="0"/>
      <w:divBdr>
        <w:top w:val="none" w:sz="0" w:space="0" w:color="auto"/>
        <w:left w:val="none" w:sz="0" w:space="0" w:color="auto"/>
        <w:bottom w:val="none" w:sz="0" w:space="0" w:color="auto"/>
        <w:right w:val="none" w:sz="0" w:space="0" w:color="auto"/>
      </w:divBdr>
      <w:divsChild>
        <w:div w:id="1039013235">
          <w:marLeft w:val="1080"/>
          <w:marRight w:val="0"/>
          <w:marTop w:val="0"/>
          <w:marBottom w:val="60"/>
          <w:divBdr>
            <w:top w:val="none" w:sz="0" w:space="0" w:color="auto"/>
            <w:left w:val="none" w:sz="0" w:space="0" w:color="auto"/>
            <w:bottom w:val="none" w:sz="0" w:space="0" w:color="auto"/>
            <w:right w:val="none" w:sz="0" w:space="0" w:color="auto"/>
          </w:divBdr>
        </w:div>
        <w:div w:id="1043479697">
          <w:marLeft w:val="1080"/>
          <w:marRight w:val="0"/>
          <w:marTop w:val="0"/>
          <w:marBottom w:val="60"/>
          <w:divBdr>
            <w:top w:val="none" w:sz="0" w:space="0" w:color="auto"/>
            <w:left w:val="none" w:sz="0" w:space="0" w:color="auto"/>
            <w:bottom w:val="none" w:sz="0" w:space="0" w:color="auto"/>
            <w:right w:val="none" w:sz="0" w:space="0" w:color="auto"/>
          </w:divBdr>
        </w:div>
        <w:div w:id="1543907506">
          <w:marLeft w:val="1080"/>
          <w:marRight w:val="0"/>
          <w:marTop w:val="0"/>
          <w:marBottom w:val="60"/>
          <w:divBdr>
            <w:top w:val="none" w:sz="0" w:space="0" w:color="auto"/>
            <w:left w:val="none" w:sz="0" w:space="0" w:color="auto"/>
            <w:bottom w:val="none" w:sz="0" w:space="0" w:color="auto"/>
            <w:right w:val="none" w:sz="0" w:space="0" w:color="auto"/>
          </w:divBdr>
        </w:div>
        <w:div w:id="1581209489">
          <w:marLeft w:val="1800"/>
          <w:marRight w:val="0"/>
          <w:marTop w:val="0"/>
          <w:marBottom w:val="60"/>
          <w:divBdr>
            <w:top w:val="none" w:sz="0" w:space="0" w:color="auto"/>
            <w:left w:val="none" w:sz="0" w:space="0" w:color="auto"/>
            <w:bottom w:val="none" w:sz="0" w:space="0" w:color="auto"/>
            <w:right w:val="none" w:sz="0" w:space="0" w:color="auto"/>
          </w:divBdr>
        </w:div>
        <w:div w:id="2085908686">
          <w:marLeft w:val="1800"/>
          <w:marRight w:val="0"/>
          <w:marTop w:val="0"/>
          <w:marBottom w:val="60"/>
          <w:divBdr>
            <w:top w:val="none" w:sz="0" w:space="0" w:color="auto"/>
            <w:left w:val="none" w:sz="0" w:space="0" w:color="auto"/>
            <w:bottom w:val="none" w:sz="0" w:space="0" w:color="auto"/>
            <w:right w:val="none" w:sz="0" w:space="0" w:color="auto"/>
          </w:divBdr>
        </w:div>
        <w:div w:id="1930574608">
          <w:marLeft w:val="1080"/>
          <w:marRight w:val="0"/>
          <w:marTop w:val="0"/>
          <w:marBottom w:val="60"/>
          <w:divBdr>
            <w:top w:val="none" w:sz="0" w:space="0" w:color="auto"/>
            <w:left w:val="none" w:sz="0" w:space="0" w:color="auto"/>
            <w:bottom w:val="none" w:sz="0" w:space="0" w:color="auto"/>
            <w:right w:val="none" w:sz="0" w:space="0" w:color="auto"/>
          </w:divBdr>
        </w:div>
        <w:div w:id="254901449">
          <w:marLeft w:val="1080"/>
          <w:marRight w:val="0"/>
          <w:marTop w:val="0"/>
          <w:marBottom w:val="60"/>
          <w:divBdr>
            <w:top w:val="none" w:sz="0" w:space="0" w:color="auto"/>
            <w:left w:val="none" w:sz="0" w:space="0" w:color="auto"/>
            <w:bottom w:val="none" w:sz="0" w:space="0" w:color="auto"/>
            <w:right w:val="none" w:sz="0" w:space="0" w:color="auto"/>
          </w:divBdr>
        </w:div>
        <w:div w:id="277297965">
          <w:marLeft w:val="1080"/>
          <w:marRight w:val="0"/>
          <w:marTop w:val="0"/>
          <w:marBottom w:val="60"/>
          <w:divBdr>
            <w:top w:val="none" w:sz="0" w:space="0" w:color="auto"/>
            <w:left w:val="none" w:sz="0" w:space="0" w:color="auto"/>
            <w:bottom w:val="none" w:sz="0" w:space="0" w:color="auto"/>
            <w:right w:val="none" w:sz="0" w:space="0" w:color="auto"/>
          </w:divBdr>
        </w:div>
        <w:div w:id="265961951">
          <w:marLeft w:val="1800"/>
          <w:marRight w:val="0"/>
          <w:marTop w:val="0"/>
          <w:marBottom w:val="60"/>
          <w:divBdr>
            <w:top w:val="none" w:sz="0" w:space="0" w:color="auto"/>
            <w:left w:val="none" w:sz="0" w:space="0" w:color="auto"/>
            <w:bottom w:val="none" w:sz="0" w:space="0" w:color="auto"/>
            <w:right w:val="none" w:sz="0" w:space="0" w:color="auto"/>
          </w:divBdr>
        </w:div>
        <w:div w:id="361512355">
          <w:marLeft w:val="1800"/>
          <w:marRight w:val="0"/>
          <w:marTop w:val="0"/>
          <w:marBottom w:val="60"/>
          <w:divBdr>
            <w:top w:val="none" w:sz="0" w:space="0" w:color="auto"/>
            <w:left w:val="none" w:sz="0" w:space="0" w:color="auto"/>
            <w:bottom w:val="none" w:sz="0" w:space="0" w:color="auto"/>
            <w:right w:val="none" w:sz="0" w:space="0" w:color="auto"/>
          </w:divBdr>
        </w:div>
        <w:div w:id="2034108505">
          <w:marLeft w:val="1080"/>
          <w:marRight w:val="0"/>
          <w:marTop w:val="0"/>
          <w:marBottom w:val="60"/>
          <w:divBdr>
            <w:top w:val="none" w:sz="0" w:space="0" w:color="auto"/>
            <w:left w:val="none" w:sz="0" w:space="0" w:color="auto"/>
            <w:bottom w:val="none" w:sz="0" w:space="0" w:color="auto"/>
            <w:right w:val="none" w:sz="0" w:space="0" w:color="auto"/>
          </w:divBdr>
        </w:div>
        <w:div w:id="343822614">
          <w:marLeft w:val="1080"/>
          <w:marRight w:val="0"/>
          <w:marTop w:val="0"/>
          <w:marBottom w:val="60"/>
          <w:divBdr>
            <w:top w:val="none" w:sz="0" w:space="0" w:color="auto"/>
            <w:left w:val="none" w:sz="0" w:space="0" w:color="auto"/>
            <w:bottom w:val="none" w:sz="0" w:space="0" w:color="auto"/>
            <w:right w:val="none" w:sz="0" w:space="0" w:color="auto"/>
          </w:divBdr>
        </w:div>
        <w:div w:id="1574387312">
          <w:marLeft w:val="1800"/>
          <w:marRight w:val="0"/>
          <w:marTop w:val="0"/>
          <w:marBottom w:val="60"/>
          <w:divBdr>
            <w:top w:val="none" w:sz="0" w:space="0" w:color="auto"/>
            <w:left w:val="none" w:sz="0" w:space="0" w:color="auto"/>
            <w:bottom w:val="none" w:sz="0" w:space="0" w:color="auto"/>
            <w:right w:val="none" w:sz="0" w:space="0" w:color="auto"/>
          </w:divBdr>
        </w:div>
        <w:div w:id="112722257">
          <w:marLeft w:val="1800"/>
          <w:marRight w:val="0"/>
          <w:marTop w:val="0"/>
          <w:marBottom w:val="60"/>
          <w:divBdr>
            <w:top w:val="none" w:sz="0" w:space="0" w:color="auto"/>
            <w:left w:val="none" w:sz="0" w:space="0" w:color="auto"/>
            <w:bottom w:val="none" w:sz="0" w:space="0" w:color="auto"/>
            <w:right w:val="none" w:sz="0" w:space="0" w:color="auto"/>
          </w:divBdr>
        </w:div>
        <w:div w:id="1578176302">
          <w:marLeft w:val="1080"/>
          <w:marRight w:val="0"/>
          <w:marTop w:val="0"/>
          <w:marBottom w:val="60"/>
          <w:divBdr>
            <w:top w:val="none" w:sz="0" w:space="0" w:color="auto"/>
            <w:left w:val="none" w:sz="0" w:space="0" w:color="auto"/>
            <w:bottom w:val="none" w:sz="0" w:space="0" w:color="auto"/>
            <w:right w:val="none" w:sz="0" w:space="0" w:color="auto"/>
          </w:divBdr>
        </w:div>
        <w:div w:id="1989898924">
          <w:marLeft w:val="1800"/>
          <w:marRight w:val="0"/>
          <w:marTop w:val="0"/>
          <w:marBottom w:val="60"/>
          <w:divBdr>
            <w:top w:val="none" w:sz="0" w:space="0" w:color="auto"/>
            <w:left w:val="none" w:sz="0" w:space="0" w:color="auto"/>
            <w:bottom w:val="none" w:sz="0" w:space="0" w:color="auto"/>
            <w:right w:val="none" w:sz="0" w:space="0" w:color="auto"/>
          </w:divBdr>
        </w:div>
        <w:div w:id="1663967945">
          <w:marLeft w:val="1800"/>
          <w:marRight w:val="0"/>
          <w:marTop w:val="0"/>
          <w:marBottom w:val="60"/>
          <w:divBdr>
            <w:top w:val="none" w:sz="0" w:space="0" w:color="auto"/>
            <w:left w:val="none" w:sz="0" w:space="0" w:color="auto"/>
            <w:bottom w:val="none" w:sz="0" w:space="0" w:color="auto"/>
            <w:right w:val="none" w:sz="0" w:space="0" w:color="auto"/>
          </w:divBdr>
        </w:div>
        <w:div w:id="628247614">
          <w:marLeft w:val="1800"/>
          <w:marRight w:val="0"/>
          <w:marTop w:val="0"/>
          <w:marBottom w:val="6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481194723">
      <w:bodyDiv w:val="1"/>
      <w:marLeft w:val="0"/>
      <w:marRight w:val="0"/>
      <w:marTop w:val="0"/>
      <w:marBottom w:val="0"/>
      <w:divBdr>
        <w:top w:val="none" w:sz="0" w:space="0" w:color="auto"/>
        <w:left w:val="none" w:sz="0" w:space="0" w:color="auto"/>
        <w:bottom w:val="none" w:sz="0" w:space="0" w:color="auto"/>
        <w:right w:val="none" w:sz="0" w:space="0" w:color="auto"/>
      </w:divBdr>
      <w:divsChild>
        <w:div w:id="1886940075">
          <w:marLeft w:val="1800"/>
          <w:marRight w:val="0"/>
          <w:marTop w:val="0"/>
          <w:marBottom w:val="6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850753436">
      <w:bodyDiv w:val="1"/>
      <w:marLeft w:val="0"/>
      <w:marRight w:val="0"/>
      <w:marTop w:val="0"/>
      <w:marBottom w:val="0"/>
      <w:divBdr>
        <w:top w:val="none" w:sz="0" w:space="0" w:color="auto"/>
        <w:left w:val="none" w:sz="0" w:space="0" w:color="auto"/>
        <w:bottom w:val="none" w:sz="0" w:space="0" w:color="auto"/>
        <w:right w:val="none" w:sz="0" w:space="0" w:color="auto"/>
      </w:divBdr>
    </w:div>
    <w:div w:id="940842205">
      <w:bodyDiv w:val="1"/>
      <w:marLeft w:val="0"/>
      <w:marRight w:val="0"/>
      <w:marTop w:val="0"/>
      <w:marBottom w:val="0"/>
      <w:divBdr>
        <w:top w:val="none" w:sz="0" w:space="0" w:color="auto"/>
        <w:left w:val="none" w:sz="0" w:space="0" w:color="auto"/>
        <w:bottom w:val="none" w:sz="0" w:space="0" w:color="auto"/>
        <w:right w:val="none" w:sz="0" w:space="0" w:color="auto"/>
      </w:divBdr>
      <w:divsChild>
        <w:div w:id="8415122">
          <w:marLeft w:val="2520"/>
          <w:marRight w:val="0"/>
          <w:marTop w:val="0"/>
          <w:marBottom w:val="60"/>
          <w:divBdr>
            <w:top w:val="none" w:sz="0" w:space="0" w:color="auto"/>
            <w:left w:val="none" w:sz="0" w:space="0" w:color="auto"/>
            <w:bottom w:val="none" w:sz="0" w:space="0" w:color="auto"/>
            <w:right w:val="none" w:sz="0" w:space="0" w:color="auto"/>
          </w:divBdr>
        </w:div>
        <w:div w:id="1207832193">
          <w:marLeft w:val="3240"/>
          <w:marRight w:val="0"/>
          <w:marTop w:val="0"/>
          <w:marBottom w:val="60"/>
          <w:divBdr>
            <w:top w:val="none" w:sz="0" w:space="0" w:color="auto"/>
            <w:left w:val="none" w:sz="0" w:space="0" w:color="auto"/>
            <w:bottom w:val="none" w:sz="0" w:space="0" w:color="auto"/>
            <w:right w:val="none" w:sz="0" w:space="0" w:color="auto"/>
          </w:divBdr>
        </w:div>
        <w:div w:id="1838382701">
          <w:marLeft w:val="324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45776483">
      <w:bodyDiv w:val="1"/>
      <w:marLeft w:val="0"/>
      <w:marRight w:val="0"/>
      <w:marTop w:val="0"/>
      <w:marBottom w:val="0"/>
      <w:divBdr>
        <w:top w:val="none" w:sz="0" w:space="0" w:color="auto"/>
        <w:left w:val="none" w:sz="0" w:space="0" w:color="auto"/>
        <w:bottom w:val="none" w:sz="0" w:space="0" w:color="auto"/>
        <w:right w:val="none" w:sz="0" w:space="0" w:color="auto"/>
      </w:divBdr>
      <w:divsChild>
        <w:div w:id="561133836">
          <w:marLeft w:val="1080"/>
          <w:marRight w:val="0"/>
          <w:marTop w:val="0"/>
          <w:marBottom w:val="60"/>
          <w:divBdr>
            <w:top w:val="none" w:sz="0" w:space="0" w:color="auto"/>
            <w:left w:val="none" w:sz="0" w:space="0" w:color="auto"/>
            <w:bottom w:val="none" w:sz="0" w:space="0" w:color="auto"/>
            <w:right w:val="none" w:sz="0" w:space="0" w:color="auto"/>
          </w:divBdr>
        </w:div>
        <w:div w:id="2087340261">
          <w:marLeft w:val="1800"/>
          <w:marRight w:val="0"/>
          <w:marTop w:val="0"/>
          <w:marBottom w:val="60"/>
          <w:divBdr>
            <w:top w:val="none" w:sz="0" w:space="0" w:color="auto"/>
            <w:left w:val="none" w:sz="0" w:space="0" w:color="auto"/>
            <w:bottom w:val="none" w:sz="0" w:space="0" w:color="auto"/>
            <w:right w:val="none" w:sz="0" w:space="0" w:color="auto"/>
          </w:divBdr>
        </w:div>
        <w:div w:id="1994602471">
          <w:marLeft w:val="1800"/>
          <w:marRight w:val="0"/>
          <w:marTop w:val="0"/>
          <w:marBottom w:val="60"/>
          <w:divBdr>
            <w:top w:val="none" w:sz="0" w:space="0" w:color="auto"/>
            <w:left w:val="none" w:sz="0" w:space="0" w:color="auto"/>
            <w:bottom w:val="none" w:sz="0" w:space="0" w:color="auto"/>
            <w:right w:val="none" w:sz="0" w:space="0" w:color="auto"/>
          </w:divBdr>
        </w:div>
        <w:div w:id="1317761984">
          <w:marLeft w:val="1800"/>
          <w:marRight w:val="0"/>
          <w:marTop w:val="0"/>
          <w:marBottom w:val="6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1444420248">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215511891">
          <w:marLeft w:val="1080"/>
          <w:marRight w:val="0"/>
          <w:marTop w:val="0"/>
          <w:marBottom w:val="60"/>
          <w:divBdr>
            <w:top w:val="none" w:sz="0" w:space="0" w:color="auto"/>
            <w:left w:val="none" w:sz="0" w:space="0" w:color="auto"/>
            <w:bottom w:val="none" w:sz="0" w:space="0" w:color="auto"/>
            <w:right w:val="none" w:sz="0" w:space="0" w:color="auto"/>
          </w:divBdr>
        </w:div>
      </w:divsChild>
    </w:div>
    <w:div w:id="1405832821">
      <w:bodyDiv w:val="1"/>
      <w:marLeft w:val="0"/>
      <w:marRight w:val="0"/>
      <w:marTop w:val="0"/>
      <w:marBottom w:val="0"/>
      <w:divBdr>
        <w:top w:val="none" w:sz="0" w:space="0" w:color="auto"/>
        <w:left w:val="none" w:sz="0" w:space="0" w:color="auto"/>
        <w:bottom w:val="none" w:sz="0" w:space="0" w:color="auto"/>
        <w:right w:val="none" w:sz="0" w:space="0" w:color="auto"/>
      </w:divBdr>
      <w:divsChild>
        <w:div w:id="1160072296">
          <w:marLeft w:val="2520"/>
          <w:marRight w:val="0"/>
          <w:marTop w:val="0"/>
          <w:marBottom w:val="60"/>
          <w:divBdr>
            <w:top w:val="none" w:sz="0" w:space="0" w:color="auto"/>
            <w:left w:val="none" w:sz="0" w:space="0" w:color="auto"/>
            <w:bottom w:val="none" w:sz="0" w:space="0" w:color="auto"/>
            <w:right w:val="none" w:sz="0" w:space="0" w:color="auto"/>
          </w:divBdr>
        </w:div>
        <w:div w:id="1517233869">
          <w:marLeft w:val="3240"/>
          <w:marRight w:val="0"/>
          <w:marTop w:val="0"/>
          <w:marBottom w:val="60"/>
          <w:divBdr>
            <w:top w:val="none" w:sz="0" w:space="0" w:color="auto"/>
            <w:left w:val="none" w:sz="0" w:space="0" w:color="auto"/>
            <w:bottom w:val="none" w:sz="0" w:space="0" w:color="auto"/>
            <w:right w:val="none" w:sz="0" w:space="0" w:color="auto"/>
          </w:divBdr>
        </w:div>
        <w:div w:id="792988064">
          <w:marLeft w:val="3240"/>
          <w:marRight w:val="0"/>
          <w:marTop w:val="0"/>
          <w:marBottom w:val="60"/>
          <w:divBdr>
            <w:top w:val="none" w:sz="0" w:space="0" w:color="auto"/>
            <w:left w:val="none" w:sz="0" w:space="0" w:color="auto"/>
            <w:bottom w:val="none" w:sz="0" w:space="0" w:color="auto"/>
            <w:right w:val="none" w:sz="0" w:space="0" w:color="auto"/>
          </w:divBdr>
        </w:div>
      </w:divsChild>
    </w:div>
    <w:div w:id="1764258756">
      <w:bodyDiv w:val="1"/>
      <w:marLeft w:val="0"/>
      <w:marRight w:val="0"/>
      <w:marTop w:val="0"/>
      <w:marBottom w:val="0"/>
      <w:divBdr>
        <w:top w:val="none" w:sz="0" w:space="0" w:color="auto"/>
        <w:left w:val="none" w:sz="0" w:space="0" w:color="auto"/>
        <w:bottom w:val="none" w:sz="0" w:space="0" w:color="auto"/>
        <w:right w:val="none" w:sz="0" w:space="0" w:color="auto"/>
      </w:divBdr>
      <w:divsChild>
        <w:div w:id="1454598169">
          <w:marLeft w:val="0"/>
          <w:marRight w:val="0"/>
          <w:marTop w:val="0"/>
          <w:marBottom w:val="0"/>
          <w:divBdr>
            <w:top w:val="none" w:sz="0" w:space="0" w:color="auto"/>
            <w:left w:val="none" w:sz="0" w:space="0" w:color="auto"/>
            <w:bottom w:val="none" w:sz="0" w:space="0" w:color="auto"/>
            <w:right w:val="none" w:sz="0" w:space="0" w:color="auto"/>
          </w:divBdr>
          <w:divsChild>
            <w:div w:id="2127848537">
              <w:marLeft w:val="0"/>
              <w:marRight w:val="0"/>
              <w:marTop w:val="0"/>
              <w:marBottom w:val="0"/>
              <w:divBdr>
                <w:top w:val="none" w:sz="0" w:space="0" w:color="auto"/>
                <w:left w:val="none" w:sz="0" w:space="0" w:color="auto"/>
                <w:bottom w:val="none" w:sz="0" w:space="0" w:color="auto"/>
                <w:right w:val="none" w:sz="0" w:space="0" w:color="auto"/>
              </w:divBdr>
            </w:div>
          </w:divsChild>
        </w:div>
        <w:div w:id="1814060978">
          <w:marLeft w:val="0"/>
          <w:marRight w:val="0"/>
          <w:marTop w:val="0"/>
          <w:marBottom w:val="0"/>
          <w:divBdr>
            <w:top w:val="none" w:sz="0" w:space="0" w:color="auto"/>
            <w:left w:val="none" w:sz="0" w:space="0" w:color="auto"/>
            <w:bottom w:val="none" w:sz="0" w:space="0" w:color="auto"/>
            <w:right w:val="none" w:sz="0" w:space="0" w:color="auto"/>
          </w:divBdr>
          <w:divsChild>
            <w:div w:id="621110869">
              <w:marLeft w:val="0"/>
              <w:marRight w:val="0"/>
              <w:marTop w:val="0"/>
              <w:marBottom w:val="0"/>
              <w:divBdr>
                <w:top w:val="none" w:sz="0" w:space="0" w:color="auto"/>
                <w:left w:val="none" w:sz="0" w:space="0" w:color="auto"/>
                <w:bottom w:val="none" w:sz="0" w:space="0" w:color="auto"/>
                <w:right w:val="none" w:sz="0" w:space="0" w:color="auto"/>
              </w:divBdr>
            </w:div>
          </w:divsChild>
        </w:div>
        <w:div w:id="1812211487">
          <w:marLeft w:val="0"/>
          <w:marRight w:val="0"/>
          <w:marTop w:val="0"/>
          <w:marBottom w:val="0"/>
          <w:divBdr>
            <w:top w:val="none" w:sz="0" w:space="0" w:color="auto"/>
            <w:left w:val="none" w:sz="0" w:space="0" w:color="auto"/>
            <w:bottom w:val="none" w:sz="0" w:space="0" w:color="auto"/>
            <w:right w:val="none" w:sz="0" w:space="0" w:color="auto"/>
          </w:divBdr>
          <w:divsChild>
            <w:div w:id="1535927920">
              <w:marLeft w:val="0"/>
              <w:marRight w:val="0"/>
              <w:marTop w:val="0"/>
              <w:marBottom w:val="0"/>
              <w:divBdr>
                <w:top w:val="none" w:sz="0" w:space="0" w:color="auto"/>
                <w:left w:val="none" w:sz="0" w:space="0" w:color="auto"/>
                <w:bottom w:val="none" w:sz="0" w:space="0" w:color="auto"/>
                <w:right w:val="none" w:sz="0" w:space="0" w:color="auto"/>
              </w:divBdr>
            </w:div>
          </w:divsChild>
        </w:div>
        <w:div w:id="1947883991">
          <w:marLeft w:val="0"/>
          <w:marRight w:val="0"/>
          <w:marTop w:val="0"/>
          <w:marBottom w:val="0"/>
          <w:divBdr>
            <w:top w:val="none" w:sz="0" w:space="0" w:color="auto"/>
            <w:left w:val="none" w:sz="0" w:space="0" w:color="auto"/>
            <w:bottom w:val="none" w:sz="0" w:space="0" w:color="auto"/>
            <w:right w:val="none" w:sz="0" w:space="0" w:color="auto"/>
          </w:divBdr>
          <w:divsChild>
            <w:div w:id="1793092959">
              <w:marLeft w:val="0"/>
              <w:marRight w:val="0"/>
              <w:marTop w:val="0"/>
              <w:marBottom w:val="0"/>
              <w:divBdr>
                <w:top w:val="none" w:sz="0" w:space="0" w:color="auto"/>
                <w:left w:val="none" w:sz="0" w:space="0" w:color="auto"/>
                <w:bottom w:val="none" w:sz="0" w:space="0" w:color="auto"/>
                <w:right w:val="none" w:sz="0" w:space="0" w:color="auto"/>
              </w:divBdr>
            </w:div>
          </w:divsChild>
        </w:div>
        <w:div w:id="338391829">
          <w:marLeft w:val="0"/>
          <w:marRight w:val="0"/>
          <w:marTop w:val="0"/>
          <w:marBottom w:val="0"/>
          <w:divBdr>
            <w:top w:val="none" w:sz="0" w:space="0" w:color="auto"/>
            <w:left w:val="none" w:sz="0" w:space="0" w:color="auto"/>
            <w:bottom w:val="none" w:sz="0" w:space="0" w:color="auto"/>
            <w:right w:val="none" w:sz="0" w:space="0" w:color="auto"/>
          </w:divBdr>
          <w:divsChild>
            <w:div w:id="648898715">
              <w:marLeft w:val="0"/>
              <w:marRight w:val="0"/>
              <w:marTop w:val="0"/>
              <w:marBottom w:val="0"/>
              <w:divBdr>
                <w:top w:val="none" w:sz="0" w:space="0" w:color="auto"/>
                <w:left w:val="none" w:sz="0" w:space="0" w:color="auto"/>
                <w:bottom w:val="none" w:sz="0" w:space="0" w:color="auto"/>
                <w:right w:val="none" w:sz="0" w:space="0" w:color="auto"/>
              </w:divBdr>
            </w:div>
            <w:div w:id="765005892">
              <w:marLeft w:val="0"/>
              <w:marRight w:val="0"/>
              <w:marTop w:val="0"/>
              <w:marBottom w:val="0"/>
              <w:divBdr>
                <w:top w:val="none" w:sz="0" w:space="0" w:color="auto"/>
                <w:left w:val="none" w:sz="0" w:space="0" w:color="auto"/>
                <w:bottom w:val="none" w:sz="0" w:space="0" w:color="auto"/>
                <w:right w:val="none" w:sz="0" w:space="0" w:color="auto"/>
              </w:divBdr>
            </w:div>
          </w:divsChild>
        </w:div>
        <w:div w:id="667296001">
          <w:marLeft w:val="0"/>
          <w:marRight w:val="0"/>
          <w:marTop w:val="0"/>
          <w:marBottom w:val="0"/>
          <w:divBdr>
            <w:top w:val="none" w:sz="0" w:space="0" w:color="auto"/>
            <w:left w:val="none" w:sz="0" w:space="0" w:color="auto"/>
            <w:bottom w:val="none" w:sz="0" w:space="0" w:color="auto"/>
            <w:right w:val="none" w:sz="0" w:space="0" w:color="auto"/>
          </w:divBdr>
          <w:divsChild>
            <w:div w:id="95106022">
              <w:marLeft w:val="0"/>
              <w:marRight w:val="0"/>
              <w:marTop w:val="0"/>
              <w:marBottom w:val="0"/>
              <w:divBdr>
                <w:top w:val="none" w:sz="0" w:space="0" w:color="auto"/>
                <w:left w:val="none" w:sz="0" w:space="0" w:color="auto"/>
                <w:bottom w:val="none" w:sz="0" w:space="0" w:color="auto"/>
                <w:right w:val="none" w:sz="0" w:space="0" w:color="auto"/>
              </w:divBdr>
            </w:div>
            <w:div w:id="84304437">
              <w:marLeft w:val="0"/>
              <w:marRight w:val="0"/>
              <w:marTop w:val="0"/>
              <w:marBottom w:val="0"/>
              <w:divBdr>
                <w:top w:val="none" w:sz="0" w:space="0" w:color="auto"/>
                <w:left w:val="none" w:sz="0" w:space="0" w:color="auto"/>
                <w:bottom w:val="none" w:sz="0" w:space="0" w:color="auto"/>
                <w:right w:val="none" w:sz="0" w:space="0" w:color="auto"/>
              </w:divBdr>
            </w:div>
          </w:divsChild>
        </w:div>
        <w:div w:id="35736909">
          <w:marLeft w:val="0"/>
          <w:marRight w:val="0"/>
          <w:marTop w:val="0"/>
          <w:marBottom w:val="0"/>
          <w:divBdr>
            <w:top w:val="none" w:sz="0" w:space="0" w:color="auto"/>
            <w:left w:val="none" w:sz="0" w:space="0" w:color="auto"/>
            <w:bottom w:val="none" w:sz="0" w:space="0" w:color="auto"/>
            <w:right w:val="none" w:sz="0" w:space="0" w:color="auto"/>
          </w:divBdr>
          <w:divsChild>
            <w:div w:id="1142380415">
              <w:marLeft w:val="0"/>
              <w:marRight w:val="0"/>
              <w:marTop w:val="0"/>
              <w:marBottom w:val="0"/>
              <w:divBdr>
                <w:top w:val="none" w:sz="0" w:space="0" w:color="auto"/>
                <w:left w:val="none" w:sz="0" w:space="0" w:color="auto"/>
                <w:bottom w:val="none" w:sz="0" w:space="0" w:color="auto"/>
                <w:right w:val="none" w:sz="0" w:space="0" w:color="auto"/>
              </w:divBdr>
            </w:div>
            <w:div w:id="1122311130">
              <w:marLeft w:val="0"/>
              <w:marRight w:val="0"/>
              <w:marTop w:val="0"/>
              <w:marBottom w:val="0"/>
              <w:divBdr>
                <w:top w:val="none" w:sz="0" w:space="0" w:color="auto"/>
                <w:left w:val="none" w:sz="0" w:space="0" w:color="auto"/>
                <w:bottom w:val="none" w:sz="0" w:space="0" w:color="auto"/>
                <w:right w:val="none" w:sz="0" w:space="0" w:color="auto"/>
              </w:divBdr>
            </w:div>
          </w:divsChild>
        </w:div>
        <w:div w:id="2119371677">
          <w:marLeft w:val="0"/>
          <w:marRight w:val="0"/>
          <w:marTop w:val="0"/>
          <w:marBottom w:val="0"/>
          <w:divBdr>
            <w:top w:val="none" w:sz="0" w:space="0" w:color="auto"/>
            <w:left w:val="none" w:sz="0" w:space="0" w:color="auto"/>
            <w:bottom w:val="none" w:sz="0" w:space="0" w:color="auto"/>
            <w:right w:val="none" w:sz="0" w:space="0" w:color="auto"/>
          </w:divBdr>
          <w:divsChild>
            <w:div w:id="649940220">
              <w:marLeft w:val="0"/>
              <w:marRight w:val="0"/>
              <w:marTop w:val="0"/>
              <w:marBottom w:val="0"/>
              <w:divBdr>
                <w:top w:val="none" w:sz="0" w:space="0" w:color="auto"/>
                <w:left w:val="none" w:sz="0" w:space="0" w:color="auto"/>
                <w:bottom w:val="none" w:sz="0" w:space="0" w:color="auto"/>
                <w:right w:val="none" w:sz="0" w:space="0" w:color="auto"/>
              </w:divBdr>
            </w:div>
            <w:div w:id="1963464535">
              <w:marLeft w:val="0"/>
              <w:marRight w:val="0"/>
              <w:marTop w:val="0"/>
              <w:marBottom w:val="0"/>
              <w:divBdr>
                <w:top w:val="none" w:sz="0" w:space="0" w:color="auto"/>
                <w:left w:val="none" w:sz="0" w:space="0" w:color="auto"/>
                <w:bottom w:val="none" w:sz="0" w:space="0" w:color="auto"/>
                <w:right w:val="none" w:sz="0" w:space="0" w:color="auto"/>
              </w:divBdr>
            </w:div>
            <w:div w:id="1755317929">
              <w:marLeft w:val="0"/>
              <w:marRight w:val="0"/>
              <w:marTop w:val="0"/>
              <w:marBottom w:val="0"/>
              <w:divBdr>
                <w:top w:val="none" w:sz="0" w:space="0" w:color="auto"/>
                <w:left w:val="none" w:sz="0" w:space="0" w:color="auto"/>
                <w:bottom w:val="none" w:sz="0" w:space="0" w:color="auto"/>
                <w:right w:val="none" w:sz="0" w:space="0" w:color="auto"/>
              </w:divBdr>
            </w:div>
          </w:divsChild>
        </w:div>
        <w:div w:id="820393725">
          <w:marLeft w:val="0"/>
          <w:marRight w:val="0"/>
          <w:marTop w:val="0"/>
          <w:marBottom w:val="0"/>
          <w:divBdr>
            <w:top w:val="none" w:sz="0" w:space="0" w:color="auto"/>
            <w:left w:val="none" w:sz="0" w:space="0" w:color="auto"/>
            <w:bottom w:val="none" w:sz="0" w:space="0" w:color="auto"/>
            <w:right w:val="none" w:sz="0" w:space="0" w:color="auto"/>
          </w:divBdr>
          <w:divsChild>
            <w:div w:id="480998834">
              <w:marLeft w:val="0"/>
              <w:marRight w:val="0"/>
              <w:marTop w:val="0"/>
              <w:marBottom w:val="0"/>
              <w:divBdr>
                <w:top w:val="none" w:sz="0" w:space="0" w:color="auto"/>
                <w:left w:val="none" w:sz="0" w:space="0" w:color="auto"/>
                <w:bottom w:val="none" w:sz="0" w:space="0" w:color="auto"/>
                <w:right w:val="none" w:sz="0" w:space="0" w:color="auto"/>
              </w:divBdr>
            </w:div>
            <w:div w:id="1580366221">
              <w:marLeft w:val="0"/>
              <w:marRight w:val="0"/>
              <w:marTop w:val="0"/>
              <w:marBottom w:val="0"/>
              <w:divBdr>
                <w:top w:val="none" w:sz="0" w:space="0" w:color="auto"/>
                <w:left w:val="none" w:sz="0" w:space="0" w:color="auto"/>
                <w:bottom w:val="none" w:sz="0" w:space="0" w:color="auto"/>
                <w:right w:val="none" w:sz="0" w:space="0" w:color="auto"/>
              </w:divBdr>
            </w:div>
          </w:divsChild>
        </w:div>
        <w:div w:id="1788894558">
          <w:marLeft w:val="0"/>
          <w:marRight w:val="0"/>
          <w:marTop w:val="0"/>
          <w:marBottom w:val="0"/>
          <w:divBdr>
            <w:top w:val="none" w:sz="0" w:space="0" w:color="auto"/>
            <w:left w:val="none" w:sz="0" w:space="0" w:color="auto"/>
            <w:bottom w:val="none" w:sz="0" w:space="0" w:color="auto"/>
            <w:right w:val="none" w:sz="0" w:space="0" w:color="auto"/>
          </w:divBdr>
          <w:divsChild>
            <w:div w:id="796724731">
              <w:marLeft w:val="0"/>
              <w:marRight w:val="0"/>
              <w:marTop w:val="0"/>
              <w:marBottom w:val="0"/>
              <w:divBdr>
                <w:top w:val="none" w:sz="0" w:space="0" w:color="auto"/>
                <w:left w:val="none" w:sz="0" w:space="0" w:color="auto"/>
                <w:bottom w:val="none" w:sz="0" w:space="0" w:color="auto"/>
                <w:right w:val="none" w:sz="0" w:space="0" w:color="auto"/>
              </w:divBdr>
            </w:div>
          </w:divsChild>
        </w:div>
        <w:div w:id="1048459592">
          <w:marLeft w:val="0"/>
          <w:marRight w:val="0"/>
          <w:marTop w:val="0"/>
          <w:marBottom w:val="0"/>
          <w:divBdr>
            <w:top w:val="none" w:sz="0" w:space="0" w:color="auto"/>
            <w:left w:val="none" w:sz="0" w:space="0" w:color="auto"/>
            <w:bottom w:val="none" w:sz="0" w:space="0" w:color="auto"/>
            <w:right w:val="none" w:sz="0" w:space="0" w:color="auto"/>
          </w:divBdr>
          <w:divsChild>
            <w:div w:id="362100077">
              <w:marLeft w:val="0"/>
              <w:marRight w:val="0"/>
              <w:marTop w:val="0"/>
              <w:marBottom w:val="0"/>
              <w:divBdr>
                <w:top w:val="none" w:sz="0" w:space="0" w:color="auto"/>
                <w:left w:val="none" w:sz="0" w:space="0" w:color="auto"/>
                <w:bottom w:val="none" w:sz="0" w:space="0" w:color="auto"/>
                <w:right w:val="none" w:sz="0" w:space="0" w:color="auto"/>
              </w:divBdr>
            </w:div>
          </w:divsChild>
        </w:div>
        <w:div w:id="632950891">
          <w:marLeft w:val="0"/>
          <w:marRight w:val="0"/>
          <w:marTop w:val="0"/>
          <w:marBottom w:val="0"/>
          <w:divBdr>
            <w:top w:val="none" w:sz="0" w:space="0" w:color="auto"/>
            <w:left w:val="none" w:sz="0" w:space="0" w:color="auto"/>
            <w:bottom w:val="none" w:sz="0" w:space="0" w:color="auto"/>
            <w:right w:val="none" w:sz="0" w:space="0" w:color="auto"/>
          </w:divBdr>
          <w:divsChild>
            <w:div w:id="9549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 w:id="19900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Julien Muller</DisplayName>
        <AccountId>319</AccountId>
        <AccountType/>
      </UserInfo>
      <UserInfo>
        <DisplayName>Ali Parichehreh</DisplayName>
        <AccountId>754</AccountId>
        <AccountType/>
      </UserInfo>
      <UserInfo>
        <DisplayName>Sakib Bin Redhwan</DisplayName>
        <AccountId>386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88252-31AF-4936-BFBF-20C7ADDDB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0672F-70E5-4040-B302-8F37BAB696E3}">
  <ds:schemaRefs>
    <ds:schemaRef ds:uri="http://schemas.microsoft.com/office/2006/documentManagement/types"/>
    <ds:schemaRef ds:uri="d8762117-8292-4133-b1c7-eab5c6487cfd"/>
    <ds:schemaRef ds:uri="http://purl.org/dc/elements/1.1/"/>
    <ds:schemaRef ds:uri="http://schemas.microsoft.com/office/2006/metadata/properties"/>
    <ds:schemaRef ds:uri="http://purl.org/dc/dcmitype/"/>
    <ds:schemaRef ds:uri="http://www.w3.org/XML/1998/namespace"/>
    <ds:schemaRef ds:uri="http://schemas.microsoft.com/sharepoint/v3"/>
    <ds:schemaRef ds:uri="http://schemas.microsoft.com/office/infopath/2007/PartnerControls"/>
    <ds:schemaRef ds:uri="9b239327-9e80-40e4-b1b7-4394fed77a33"/>
    <ds:schemaRef ds:uri="http://schemas.openxmlformats.org/package/2006/metadata/core-properties"/>
    <ds:schemaRef ds:uri="2f282d3b-eb4a-4b09-b61f-b9593442e286"/>
    <ds:schemaRef ds:uri="http://purl.org/dc/terms/"/>
  </ds:schemaRefs>
</ds:datastoreItem>
</file>

<file path=customXml/itemProps3.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4.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1135</Words>
  <Characters>5385</Characters>
  <Application>Microsoft Office Word</Application>
  <DocSecurity>0</DocSecurity>
  <Lines>44</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SHR and SPR</vt:lpstr>
      <vt:lpstr>3GPP TSG-RAN WG3 Meeting #60</vt:lpstr>
    </vt:vector>
  </TitlesOfParts>
  <Company>Ericsson</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 and SPR</dc:title>
  <dc:subject/>
  <dc:creator>Ericsson</dc:creator>
  <cp:keywords/>
  <cp:lastModifiedBy>Julien Muller</cp:lastModifiedBy>
  <cp:revision>7</cp:revision>
  <dcterms:created xsi:type="dcterms:W3CDTF">2024-04-08T09:56:00Z</dcterms:created>
  <dcterms:modified xsi:type="dcterms:W3CDTF">2024-04-08T10:19:00Z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